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23" w:leftChars="304" w:hanging="1285" w:hangingChars="400"/>
        <w:jc w:val="left"/>
        <w:rPr>
          <w:rFonts w:hint="eastAsia" w:ascii="宋体" w:hAnsi="宋体" w:eastAsia="宋体" w:cs="宋体"/>
          <w:b/>
          <w:bCs/>
          <w:color w:val="000000"/>
          <w:sz w:val="32"/>
          <w:szCs w:val="32"/>
          <w:lang w:val="en-US" w:eastAsia="zh-CN"/>
        </w:rPr>
      </w:pPr>
      <w:r>
        <w:rPr>
          <w:rFonts w:hint="eastAsia" w:ascii="宋体" w:hAnsi="宋体" w:cs="宋体"/>
          <w:b/>
          <w:bCs/>
          <w:color w:val="000000"/>
          <w:sz w:val="32"/>
          <w:szCs w:val="32"/>
          <w:lang w:val="en-US" w:eastAsia="zh-CN"/>
        </w:rPr>
        <w:t>附件一</w:t>
      </w:r>
    </w:p>
    <w:p>
      <w:pPr>
        <w:ind w:left="2405" w:leftChars="304" w:hanging="1767" w:hangingChars="400"/>
        <w:jc w:val="center"/>
        <w:rPr>
          <w:rFonts w:hint="eastAsia" w:ascii="宋体" w:hAnsi="宋体" w:cs="宋体"/>
          <w:b/>
          <w:bCs/>
          <w:color w:val="000000"/>
          <w:sz w:val="44"/>
          <w:szCs w:val="44"/>
        </w:rPr>
      </w:pPr>
      <w:r>
        <w:rPr>
          <w:rFonts w:hint="eastAsia" w:ascii="宋体" w:hAnsi="宋体" w:cs="宋体"/>
          <w:b/>
          <w:bCs/>
          <w:color w:val="000000"/>
          <w:sz w:val="44"/>
          <w:szCs w:val="44"/>
        </w:rPr>
        <w:t>《</w:t>
      </w:r>
      <w:r>
        <w:rPr>
          <w:rFonts w:hint="eastAsia" w:ascii="宋体" w:hAnsi="宋体" w:cs="宋体"/>
          <w:b/>
          <w:bCs/>
          <w:color w:val="000000"/>
          <w:sz w:val="44"/>
          <w:szCs w:val="44"/>
          <w:lang w:val="en-US" w:eastAsia="zh-CN"/>
        </w:rPr>
        <w:t>大连市</w:t>
      </w:r>
      <w:r>
        <w:rPr>
          <w:rFonts w:hint="eastAsia" w:ascii="宋体" w:hAnsi="宋体" w:cs="宋体"/>
          <w:b/>
          <w:bCs/>
          <w:color w:val="000000"/>
          <w:sz w:val="44"/>
          <w:szCs w:val="44"/>
        </w:rPr>
        <w:t>建设工程造价咨询</w:t>
      </w:r>
      <w:bookmarkStart w:id="0" w:name="_GoBack"/>
      <w:bookmarkEnd w:id="0"/>
      <w:r>
        <w:rPr>
          <w:rFonts w:hint="eastAsia" w:ascii="宋体" w:hAnsi="宋体" w:cs="宋体"/>
          <w:b/>
          <w:bCs/>
          <w:color w:val="000000"/>
          <w:sz w:val="44"/>
          <w:szCs w:val="44"/>
        </w:rPr>
        <w:t>行业自律成本参考价》（试行）</w:t>
      </w:r>
    </w:p>
    <w:p>
      <w:pPr>
        <w:widowControl/>
        <w:autoSpaceDE w:val="0"/>
        <w:autoSpaceDN w:val="0"/>
        <w:adjustRightInd w:val="0"/>
        <w:snapToGrid w:val="0"/>
        <w:spacing w:line="240" w:lineRule="exact"/>
        <w:jc w:val="center"/>
        <w:textAlignment w:val="center"/>
        <w:rPr>
          <w:rFonts w:hint="eastAsia"/>
          <w:b/>
          <w:color w:val="000000"/>
          <w:sz w:val="36"/>
          <w:szCs w:val="36"/>
        </w:rPr>
      </w:pPr>
      <w:r>
        <w:rPr>
          <w:rFonts w:hint="eastAsia"/>
          <w:b/>
          <w:color w:val="000000"/>
          <w:sz w:val="44"/>
          <w:szCs w:val="44"/>
        </w:rPr>
        <w:t xml:space="preserve"> </w:t>
      </w:r>
      <w:r>
        <w:rPr>
          <w:rFonts w:hint="eastAsia"/>
          <w:b/>
          <w:color w:val="000000"/>
          <w:sz w:val="36"/>
          <w:szCs w:val="36"/>
        </w:rPr>
        <w:t xml:space="preserve">                                                                                                                                                                  </w:t>
      </w:r>
    </w:p>
    <w:p>
      <w:pPr>
        <w:widowControl/>
        <w:autoSpaceDE w:val="0"/>
        <w:autoSpaceDN w:val="0"/>
        <w:adjustRightInd w:val="0"/>
        <w:snapToGrid w:val="0"/>
        <w:jc w:val="center"/>
        <w:textAlignment w:val="center"/>
        <w:rPr>
          <w:b/>
          <w:color w:val="000000"/>
          <w:sz w:val="28"/>
          <w:szCs w:val="28"/>
        </w:rPr>
      </w:pPr>
      <w:r>
        <w:rPr>
          <w:rFonts w:hint="eastAsia"/>
          <w:b/>
          <w:color w:val="000000"/>
          <w:sz w:val="36"/>
          <w:szCs w:val="36"/>
        </w:rPr>
        <w:t xml:space="preserve">                                                                 </w:t>
      </w:r>
      <w:r>
        <w:rPr>
          <w:rStyle w:val="6"/>
          <w:rFonts w:hint="default"/>
          <w:sz w:val="28"/>
          <w:szCs w:val="28"/>
        </w:rPr>
        <w:t xml:space="preserve">费率 </w:t>
      </w:r>
      <w:r>
        <w:rPr>
          <w:rFonts w:hint="eastAsia" w:ascii="Helvetica" w:hAnsi="Helvetica" w:cs="Helvetica"/>
          <w:color w:val="000000"/>
          <w:spacing w:val="8"/>
          <w:sz w:val="28"/>
          <w:szCs w:val="28"/>
          <w:shd w:val="clear" w:color="auto" w:fill="FFFFFF"/>
        </w:rPr>
        <w:t>‰</w:t>
      </w:r>
    </w:p>
    <w:tbl>
      <w:tblPr>
        <w:tblStyle w:val="3"/>
        <w:tblW w:w="14051" w:type="dxa"/>
        <w:jc w:val="center"/>
        <w:tblLayout w:type="fixed"/>
        <w:tblCellMar>
          <w:top w:w="0" w:type="dxa"/>
          <w:left w:w="0" w:type="dxa"/>
          <w:bottom w:w="0" w:type="dxa"/>
          <w:right w:w="0" w:type="dxa"/>
        </w:tblCellMar>
      </w:tblPr>
      <w:tblGrid>
        <w:gridCol w:w="436"/>
        <w:gridCol w:w="1356"/>
        <w:gridCol w:w="512"/>
        <w:gridCol w:w="4122"/>
        <w:gridCol w:w="567"/>
        <w:gridCol w:w="567"/>
        <w:gridCol w:w="851"/>
        <w:gridCol w:w="850"/>
        <w:gridCol w:w="1134"/>
        <w:gridCol w:w="992"/>
        <w:gridCol w:w="993"/>
        <w:gridCol w:w="992"/>
        <w:gridCol w:w="679"/>
      </w:tblGrid>
      <w:tr>
        <w:tblPrEx>
          <w:tblCellMar>
            <w:top w:w="0" w:type="dxa"/>
            <w:left w:w="0" w:type="dxa"/>
            <w:bottom w:w="0" w:type="dxa"/>
            <w:right w:w="0" w:type="dxa"/>
          </w:tblCellMar>
        </w:tblPrEx>
        <w:trPr>
          <w:trHeight w:val="306" w:hRule="atLeast"/>
          <w:tblHeader/>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b/>
                <w:color w:val="auto"/>
                <w:sz w:val="20"/>
                <w:szCs w:val="20"/>
              </w:rPr>
            </w:pPr>
            <w:r>
              <w:rPr>
                <w:rFonts w:hint="eastAsia"/>
                <w:b/>
                <w:color w:val="auto"/>
                <w:sz w:val="20"/>
                <w:szCs w:val="20"/>
              </w:rPr>
              <w:t>序号</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b/>
                <w:color w:val="auto"/>
                <w:sz w:val="20"/>
                <w:szCs w:val="20"/>
              </w:rPr>
            </w:pPr>
            <w:r>
              <w:rPr>
                <w:rFonts w:hint="eastAsia"/>
                <w:b/>
                <w:color w:val="auto"/>
                <w:sz w:val="20"/>
                <w:szCs w:val="20"/>
              </w:rPr>
              <w:t>咨询项目名称</w:t>
            </w:r>
          </w:p>
        </w:tc>
        <w:tc>
          <w:tcPr>
            <w:tcW w:w="4634"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b/>
                <w:color w:val="auto"/>
                <w:sz w:val="20"/>
                <w:szCs w:val="20"/>
              </w:rPr>
            </w:pPr>
            <w:r>
              <w:rPr>
                <w:rFonts w:hint="eastAsia"/>
                <w:b/>
                <w:color w:val="auto"/>
                <w:sz w:val="20"/>
                <w:szCs w:val="20"/>
              </w:rPr>
              <w:t>工作内容</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b/>
                <w:color w:val="auto"/>
                <w:sz w:val="20"/>
                <w:szCs w:val="20"/>
              </w:rPr>
            </w:pPr>
            <w:r>
              <w:rPr>
                <w:rFonts w:hint="eastAsia"/>
                <w:b/>
                <w:color w:val="auto"/>
                <w:sz w:val="20"/>
                <w:szCs w:val="20"/>
              </w:rPr>
              <w:t>工程类型</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b/>
                <w:color w:val="auto"/>
                <w:sz w:val="20"/>
                <w:szCs w:val="20"/>
              </w:rPr>
            </w:pPr>
            <w:r>
              <w:rPr>
                <w:rFonts w:hint="eastAsia"/>
                <w:b/>
                <w:color w:val="auto"/>
                <w:sz w:val="20"/>
                <w:szCs w:val="20"/>
              </w:rPr>
              <w:t>计费基础</w:t>
            </w:r>
          </w:p>
        </w:tc>
        <w:tc>
          <w:tcPr>
            <w:tcW w:w="649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b/>
                <w:color w:val="auto"/>
                <w:sz w:val="20"/>
                <w:szCs w:val="20"/>
              </w:rPr>
            </w:pPr>
            <w:r>
              <w:rPr>
                <w:rFonts w:hint="eastAsia"/>
                <w:b/>
                <w:color w:val="auto"/>
                <w:sz w:val="20"/>
                <w:szCs w:val="20"/>
              </w:rPr>
              <w:t>造价金额（万元）</w:t>
            </w:r>
          </w:p>
        </w:tc>
      </w:tr>
      <w:tr>
        <w:tblPrEx>
          <w:tblCellMar>
            <w:top w:w="0" w:type="dxa"/>
            <w:left w:w="0" w:type="dxa"/>
            <w:bottom w:w="0" w:type="dxa"/>
            <w:right w:w="0" w:type="dxa"/>
          </w:tblCellMar>
        </w:tblPrEx>
        <w:trPr>
          <w:trHeight w:val="347" w:hRule="atLeast"/>
          <w:tblHeader/>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b/>
                <w:color w:val="auto"/>
                <w:sz w:val="20"/>
                <w:szCs w:val="20"/>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b/>
                <w:color w:val="auto"/>
                <w:sz w:val="20"/>
                <w:szCs w:val="20"/>
              </w:rPr>
            </w:pPr>
          </w:p>
        </w:tc>
        <w:tc>
          <w:tcPr>
            <w:tcW w:w="4634"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b/>
                <w:color w:val="auto"/>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rPr>
                <w:b/>
                <w:color w:val="auto"/>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rPr>
                <w:b/>
                <w:color w:val="auto"/>
                <w:sz w:val="20"/>
                <w:szCs w:val="20"/>
              </w:rPr>
            </w:pP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auto"/>
                <w:sz w:val="20"/>
                <w:szCs w:val="20"/>
              </w:rPr>
            </w:pPr>
            <w:r>
              <w:rPr>
                <w:rStyle w:val="7"/>
                <w:color w:val="auto"/>
              </w:rPr>
              <w:t>200</w:t>
            </w:r>
            <w:r>
              <w:rPr>
                <w:rStyle w:val="7"/>
                <w:rFonts w:hint="eastAsia"/>
                <w:color w:val="auto"/>
              </w:rPr>
              <w:t>（含）</w:t>
            </w:r>
            <w:r>
              <w:rPr>
                <w:rStyle w:val="8"/>
                <w:rFonts w:hint="default"/>
                <w:color w:val="auto"/>
              </w:rPr>
              <w:t>以内</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auto"/>
                <w:sz w:val="20"/>
                <w:szCs w:val="20"/>
              </w:rPr>
            </w:pPr>
            <w:r>
              <w:rPr>
                <w:rStyle w:val="7"/>
                <w:rFonts w:hint="eastAsia"/>
                <w:color w:val="auto"/>
              </w:rPr>
              <w:t>200-500（含）</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auto"/>
                <w:sz w:val="20"/>
                <w:szCs w:val="20"/>
              </w:rPr>
            </w:pPr>
            <w:r>
              <w:rPr>
                <w:rStyle w:val="7"/>
                <w:rFonts w:hint="eastAsia"/>
                <w:color w:val="auto"/>
              </w:rPr>
              <w:t>500-</w:t>
            </w:r>
            <w:r>
              <w:rPr>
                <w:rStyle w:val="7"/>
                <w:color w:val="auto"/>
              </w:rPr>
              <w:t>1000</w:t>
            </w:r>
            <w:r>
              <w:rPr>
                <w:rStyle w:val="7"/>
                <w:rFonts w:hint="eastAsia"/>
                <w:color w:val="auto"/>
              </w:rPr>
              <w:t>（含）</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textAlignment w:val="center"/>
              <w:rPr>
                <w:rStyle w:val="7"/>
                <w:color w:val="auto"/>
              </w:rPr>
            </w:pPr>
            <w:r>
              <w:rPr>
                <w:rStyle w:val="7"/>
                <w:rFonts w:hint="eastAsia"/>
                <w:color w:val="auto"/>
              </w:rPr>
              <w:t>1000-</w:t>
            </w:r>
          </w:p>
          <w:p>
            <w:pPr>
              <w:widowControl/>
              <w:adjustRightInd w:val="0"/>
              <w:snapToGrid w:val="0"/>
              <w:spacing w:line="280" w:lineRule="exact"/>
              <w:jc w:val="center"/>
              <w:textAlignment w:val="center"/>
              <w:rPr>
                <w:rFonts w:ascii="Arial" w:hAnsi="Arial" w:cs="Arial"/>
                <w:b/>
                <w:color w:val="auto"/>
                <w:sz w:val="20"/>
                <w:szCs w:val="20"/>
              </w:rPr>
            </w:pPr>
            <w:r>
              <w:rPr>
                <w:rStyle w:val="7"/>
                <w:color w:val="auto"/>
              </w:rPr>
              <w:t>3000</w:t>
            </w:r>
            <w:r>
              <w:rPr>
                <w:rStyle w:val="7"/>
                <w:rFonts w:hint="eastAsia"/>
                <w:color w:val="auto"/>
              </w:rPr>
              <w:t>（含）</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textAlignment w:val="center"/>
              <w:rPr>
                <w:rStyle w:val="7"/>
                <w:color w:val="auto"/>
              </w:rPr>
            </w:pPr>
            <w:r>
              <w:rPr>
                <w:rStyle w:val="7"/>
                <w:color w:val="auto"/>
              </w:rPr>
              <w:t>3</w:t>
            </w:r>
            <w:r>
              <w:rPr>
                <w:rStyle w:val="7"/>
                <w:rFonts w:hint="eastAsia"/>
                <w:color w:val="auto"/>
              </w:rPr>
              <w:t>000-</w:t>
            </w:r>
          </w:p>
          <w:p>
            <w:pPr>
              <w:widowControl/>
              <w:adjustRightInd w:val="0"/>
              <w:snapToGrid w:val="0"/>
              <w:spacing w:line="280" w:lineRule="exact"/>
              <w:jc w:val="center"/>
              <w:textAlignment w:val="center"/>
              <w:rPr>
                <w:rFonts w:ascii="Arial" w:hAnsi="Arial" w:cs="Arial"/>
                <w:b/>
                <w:color w:val="auto"/>
                <w:sz w:val="20"/>
                <w:szCs w:val="20"/>
              </w:rPr>
            </w:pPr>
            <w:r>
              <w:rPr>
                <w:rStyle w:val="7"/>
                <w:color w:val="auto"/>
              </w:rPr>
              <w:t>6000</w:t>
            </w:r>
            <w:r>
              <w:rPr>
                <w:rStyle w:val="7"/>
                <w:rFonts w:hint="eastAsia"/>
                <w:color w:val="auto"/>
              </w:rPr>
              <w:t>（含）</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textAlignment w:val="center"/>
              <w:rPr>
                <w:rStyle w:val="7"/>
                <w:color w:val="auto"/>
              </w:rPr>
            </w:pPr>
            <w:r>
              <w:rPr>
                <w:rStyle w:val="7"/>
                <w:color w:val="auto"/>
              </w:rPr>
              <w:t>6</w:t>
            </w:r>
            <w:r>
              <w:rPr>
                <w:rStyle w:val="7"/>
                <w:rFonts w:hint="eastAsia"/>
                <w:color w:val="auto"/>
              </w:rPr>
              <w:t>000-</w:t>
            </w:r>
          </w:p>
          <w:p>
            <w:pPr>
              <w:widowControl/>
              <w:adjustRightInd w:val="0"/>
              <w:snapToGrid w:val="0"/>
              <w:spacing w:line="280" w:lineRule="exact"/>
              <w:jc w:val="center"/>
              <w:textAlignment w:val="center"/>
              <w:rPr>
                <w:rFonts w:ascii="Arial" w:hAnsi="Arial" w:cs="Arial"/>
                <w:b/>
                <w:color w:val="auto"/>
                <w:sz w:val="20"/>
                <w:szCs w:val="20"/>
              </w:rPr>
            </w:pPr>
            <w:r>
              <w:rPr>
                <w:rStyle w:val="7"/>
                <w:color w:val="auto"/>
              </w:rPr>
              <w:t>10000</w:t>
            </w:r>
            <w:r>
              <w:rPr>
                <w:rStyle w:val="7"/>
                <w:rFonts w:hint="eastAsia"/>
                <w:color w:val="auto"/>
              </w:rPr>
              <w:t>（含）</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b/>
                <w:color w:val="auto"/>
                <w:sz w:val="20"/>
                <w:szCs w:val="20"/>
              </w:rPr>
            </w:pPr>
            <w:r>
              <w:rPr>
                <w:rStyle w:val="7"/>
                <w:rFonts w:hint="eastAsia"/>
                <w:color w:val="auto"/>
              </w:rPr>
              <w:t>10000以上</w:t>
            </w:r>
          </w:p>
        </w:tc>
      </w:tr>
      <w:tr>
        <w:tblPrEx>
          <w:tblCellMar>
            <w:top w:w="0" w:type="dxa"/>
            <w:left w:w="0" w:type="dxa"/>
            <w:bottom w:w="0" w:type="dxa"/>
            <w:right w:w="0" w:type="dxa"/>
          </w:tblCellMar>
        </w:tblPrEx>
        <w:trPr>
          <w:trHeight w:val="1097" w:hRule="atLeast"/>
          <w:jc w:val="center"/>
        </w:trPr>
        <w:tc>
          <w:tcPr>
            <w:tcW w:w="436" w:type="dxa"/>
            <w:vMerge w:val="restar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w:t>
            </w:r>
          </w:p>
        </w:tc>
        <w:tc>
          <w:tcPr>
            <w:tcW w:w="1356"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投资估算编制或审核</w:t>
            </w:r>
          </w:p>
        </w:tc>
        <w:tc>
          <w:tcPr>
            <w:tcW w:w="51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tc>
        <w:tc>
          <w:tcPr>
            <w:tcW w:w="412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依据建设项目的特征、方案设计文件和相应的工程造价计价依据或类似工程指标检查资料的完整、合规性，编制投资估算； 审核估算编制依据的适用性，审核费用的准确性、全面性和合理性。</w:t>
            </w:r>
          </w:p>
        </w:tc>
        <w:tc>
          <w:tcPr>
            <w:tcW w:w="56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估算价</w:t>
            </w: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val="en-US" w:eastAsia="zh-CN"/>
              </w:rPr>
            </w:pPr>
            <w:r>
              <w:rPr>
                <w:color w:val="auto"/>
                <w:szCs w:val="21"/>
              </w:rPr>
              <w:t>1.</w:t>
            </w:r>
            <w:r>
              <w:rPr>
                <w:rFonts w:hint="eastAsia"/>
                <w:color w:val="auto"/>
                <w:szCs w:val="21"/>
                <w:lang w:val="en-US" w:eastAsia="zh-CN"/>
              </w:rPr>
              <w:t>2</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rFonts w:hint="eastAsia"/>
                <w:color w:val="auto"/>
                <w:szCs w:val="21"/>
                <w:lang w:val="en-US" w:eastAsia="zh-CN"/>
              </w:rPr>
              <w:t>1.08</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0.</w:t>
            </w:r>
            <w:r>
              <w:rPr>
                <w:rFonts w:hint="eastAsia"/>
                <w:color w:val="auto"/>
                <w:szCs w:val="21"/>
                <w:lang w:val="en-US" w:eastAsia="zh-CN"/>
              </w:rPr>
              <w:t>96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0.</w:t>
            </w:r>
            <w:r>
              <w:rPr>
                <w:rFonts w:hint="eastAsia"/>
                <w:color w:val="auto"/>
                <w:szCs w:val="21"/>
                <w:lang w:val="en-US" w:eastAsia="zh-CN"/>
              </w:rPr>
              <w:t>84</w:t>
            </w:r>
            <w:r>
              <w:rPr>
                <w:color w:val="auto"/>
                <w:szCs w:val="21"/>
              </w:rPr>
              <w:t xml:space="preserve"> </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rFonts w:hint="eastAsia"/>
                <w:color w:val="auto"/>
              </w:rPr>
              <w:t>0.</w:t>
            </w:r>
            <w:r>
              <w:rPr>
                <w:rFonts w:hint="eastAsia"/>
                <w:color w:val="auto"/>
                <w:lang w:val="en-US" w:eastAsia="zh-CN"/>
              </w:rPr>
              <w:t>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val="en-US" w:eastAsia="zh-CN"/>
              </w:rPr>
            </w:pPr>
            <w:r>
              <w:rPr>
                <w:rFonts w:hint="eastAsia"/>
                <w:color w:val="auto"/>
              </w:rPr>
              <w:t>0.4</w:t>
            </w:r>
            <w:r>
              <w:rPr>
                <w:rFonts w:hint="eastAsia"/>
                <w:color w:val="auto"/>
                <w:lang w:val="en-US" w:eastAsia="zh-CN"/>
              </w:rPr>
              <w:t>8</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val="en-US" w:eastAsia="zh-CN"/>
              </w:rPr>
            </w:pPr>
            <w:r>
              <w:rPr>
                <w:rFonts w:hint="eastAsia"/>
                <w:color w:val="auto"/>
              </w:rPr>
              <w:t>0.3</w:t>
            </w:r>
            <w:r>
              <w:rPr>
                <w:rFonts w:hint="eastAsia"/>
                <w:color w:val="auto"/>
                <w:lang w:val="en-US" w:eastAsia="zh-CN"/>
              </w:rPr>
              <w:t>6</w:t>
            </w:r>
          </w:p>
        </w:tc>
      </w:tr>
      <w:tr>
        <w:tblPrEx>
          <w:tblCellMar>
            <w:top w:w="0" w:type="dxa"/>
            <w:left w:w="0" w:type="dxa"/>
            <w:bottom w:w="0" w:type="dxa"/>
            <w:right w:w="0" w:type="dxa"/>
          </w:tblCellMar>
        </w:tblPrEx>
        <w:trPr>
          <w:trHeight w:val="373" w:hRule="atLeast"/>
          <w:jc w:val="center"/>
        </w:trPr>
        <w:tc>
          <w:tcPr>
            <w:tcW w:w="43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增选工作</w:t>
            </w:r>
          </w:p>
        </w:tc>
        <w:tc>
          <w:tcPr>
            <w:tcW w:w="4122"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280" w:lineRule="exact"/>
              <w:rPr>
                <w:color w:val="auto"/>
                <w:sz w:val="20"/>
                <w:szCs w:val="20"/>
              </w:rPr>
            </w:pPr>
            <w:r>
              <w:rPr>
                <w:rFonts w:hint="eastAsia"/>
                <w:color w:val="auto"/>
                <w:sz w:val="20"/>
                <w:szCs w:val="20"/>
              </w:rPr>
              <w:t>计算或审核并分析主要技术经济指标；分析设计方案的优缺点，提出合理化建议。</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建设工程</w:t>
            </w:r>
          </w:p>
        </w:tc>
        <w:tc>
          <w:tcPr>
            <w:tcW w:w="56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估算价</w:t>
            </w:r>
          </w:p>
        </w:tc>
        <w:tc>
          <w:tcPr>
            <w:tcW w:w="6491" w:type="dxa"/>
            <w:gridSpan w:val="7"/>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280" w:lineRule="exact"/>
              <w:jc w:val="center"/>
              <w:rPr>
                <w:color w:val="auto"/>
                <w:szCs w:val="21"/>
              </w:rPr>
            </w:pPr>
            <w:r>
              <w:rPr>
                <w:rFonts w:hint="eastAsia"/>
                <w:color w:val="auto"/>
                <w:szCs w:val="21"/>
              </w:rPr>
              <w:t>基本工作收费的</w:t>
            </w:r>
            <w:r>
              <w:rPr>
                <w:color w:val="auto"/>
                <w:szCs w:val="21"/>
              </w:rPr>
              <w:t>10%-30%</w:t>
            </w:r>
          </w:p>
        </w:tc>
      </w:tr>
      <w:tr>
        <w:tblPrEx>
          <w:tblCellMar>
            <w:top w:w="0" w:type="dxa"/>
            <w:left w:w="0" w:type="dxa"/>
            <w:bottom w:w="0" w:type="dxa"/>
            <w:right w:w="0" w:type="dxa"/>
          </w:tblCellMar>
        </w:tblPrEx>
        <w:trPr>
          <w:trHeight w:val="278"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2</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设计概算编制或审核</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依据建设项目的特征、初步设计文件和相应的工程造价计价依据或资料对建设项目概算总投资及其构成进行编制；审核概算编制依据的适用性，审核建筑安装工程费、工程建设其他费、预备费、建设期贷款利息等项目的准确性、全面性和合理性，分析概算反映的建设规模、建设标准、建设内容是否与初步设计方案及可研报告相符；不含工程量计算。</w:t>
            </w:r>
          </w:p>
        </w:tc>
        <w:tc>
          <w:tcPr>
            <w:tcW w:w="567"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概算价</w:t>
            </w: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eastAsia="zh-CN"/>
              </w:rPr>
            </w:pPr>
            <w:r>
              <w:rPr>
                <w:color w:val="auto"/>
                <w:szCs w:val="21"/>
              </w:rPr>
              <w:t>1.</w:t>
            </w:r>
            <w:r>
              <w:rPr>
                <w:rFonts w:hint="eastAsia"/>
                <w:color w:val="auto"/>
                <w:szCs w:val="21"/>
                <w:lang w:val="en-US" w:eastAsia="zh-CN"/>
              </w:rPr>
              <w:t>8</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color w:val="auto"/>
                <w:szCs w:val="21"/>
              </w:rPr>
              <w:t>1.</w:t>
            </w:r>
            <w:r>
              <w:rPr>
                <w:rFonts w:hint="eastAsia"/>
                <w:color w:val="auto"/>
                <w:szCs w:val="21"/>
                <w:lang w:val="en-US" w:eastAsia="zh-CN"/>
              </w:rPr>
              <w:t>68</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color w:val="auto"/>
                <w:szCs w:val="21"/>
              </w:rPr>
              <w:t>1.</w:t>
            </w:r>
            <w:r>
              <w:rPr>
                <w:rFonts w:hint="eastAsia"/>
                <w:color w:val="auto"/>
                <w:szCs w:val="21"/>
                <w:lang w:val="en-US" w:eastAsia="zh-CN"/>
              </w:rPr>
              <w:t>56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color w:val="auto"/>
                <w:szCs w:val="21"/>
              </w:rPr>
              <w:t>1.</w:t>
            </w:r>
            <w:r>
              <w:rPr>
                <w:rFonts w:hint="eastAsia"/>
                <w:color w:val="auto"/>
                <w:szCs w:val="21"/>
                <w:lang w:val="en-US" w:eastAsia="zh-CN"/>
              </w:rPr>
              <w:t>44</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val="en-US" w:eastAsia="zh-CN"/>
              </w:rPr>
            </w:pPr>
            <w:r>
              <w:rPr>
                <w:color w:val="auto"/>
              </w:rPr>
              <w:t>1.</w:t>
            </w:r>
            <w:r>
              <w:rPr>
                <w:rFonts w:hint="eastAsia"/>
                <w:color w:val="auto"/>
                <w:lang w:val="en-US" w:eastAsia="zh-CN"/>
              </w:rPr>
              <w:t>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1.08</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rFonts w:hint="eastAsia"/>
                <w:color w:val="auto"/>
              </w:rPr>
              <w:t>0.</w:t>
            </w:r>
            <w:r>
              <w:rPr>
                <w:rFonts w:hint="eastAsia"/>
                <w:color w:val="auto"/>
                <w:lang w:val="en-US" w:eastAsia="zh-CN"/>
              </w:rPr>
              <w:t>96</w:t>
            </w:r>
            <w:r>
              <w:rPr>
                <w:rFonts w:hint="eastAsia"/>
                <w:color w:val="auto"/>
              </w:rPr>
              <w:t xml:space="preserve"> </w:t>
            </w:r>
          </w:p>
        </w:tc>
      </w:tr>
      <w:tr>
        <w:tblPrEx>
          <w:tblCellMar>
            <w:top w:w="0" w:type="dxa"/>
            <w:left w:w="0" w:type="dxa"/>
            <w:bottom w:w="0" w:type="dxa"/>
            <w:right w:w="0" w:type="dxa"/>
          </w:tblCellMar>
        </w:tblPrEx>
        <w:trPr>
          <w:trHeight w:val="466" w:hRule="atLeast"/>
          <w:jc w:val="center"/>
        </w:trPr>
        <w:tc>
          <w:tcPr>
            <w:tcW w:w="436"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p>
        </w:tc>
        <w:tc>
          <w:tcPr>
            <w:tcW w:w="1356" w:type="dxa"/>
            <w:vMerge w:val="continue"/>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512" w:type="dxa"/>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增选工作</w:t>
            </w:r>
          </w:p>
        </w:tc>
        <w:tc>
          <w:tcPr>
            <w:tcW w:w="4122" w:type="dxa"/>
            <w:tcBorders>
              <w:top w:val="single" w:color="auto" w:sz="4" w:space="0"/>
              <w:left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计算工程量，计算或审核并分析主要技术经济指标；分析设计方案的优缺点，提出合理化建议。</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概算价</w:t>
            </w:r>
          </w:p>
        </w:tc>
        <w:tc>
          <w:tcPr>
            <w:tcW w:w="6491" w:type="dxa"/>
            <w:gridSpan w:val="7"/>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rFonts w:hint="eastAsia"/>
                <w:color w:val="auto"/>
                <w:szCs w:val="21"/>
              </w:rPr>
              <w:t>基本工作收费的</w:t>
            </w:r>
            <w:r>
              <w:rPr>
                <w:color w:val="auto"/>
                <w:szCs w:val="21"/>
              </w:rPr>
              <w:t>10%-30%</w:t>
            </w:r>
          </w:p>
        </w:tc>
      </w:tr>
      <w:tr>
        <w:tblPrEx>
          <w:tblCellMar>
            <w:top w:w="0" w:type="dxa"/>
            <w:left w:w="0" w:type="dxa"/>
            <w:bottom w:w="0" w:type="dxa"/>
            <w:right w:w="0" w:type="dxa"/>
          </w:tblCellMar>
        </w:tblPrEx>
        <w:trPr>
          <w:trHeight w:val="592" w:hRule="atLeast"/>
          <w:jc w:val="center"/>
        </w:trPr>
        <w:tc>
          <w:tcPr>
            <w:tcW w:w="43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3</w:t>
            </w:r>
          </w:p>
        </w:tc>
        <w:tc>
          <w:tcPr>
            <w:tcW w:w="135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设计方案优化</w:t>
            </w:r>
          </w:p>
        </w:tc>
        <w:tc>
          <w:tcPr>
            <w:tcW w:w="51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方案设计阶段对不同方案进行造价测算并提供优化建议评估各项经济和技术，比选出投资资源最优配置的方案。</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优化</w:t>
            </w:r>
          </w:p>
          <w:p>
            <w:pPr>
              <w:widowControl/>
              <w:adjustRightInd w:val="0"/>
              <w:snapToGrid w:val="0"/>
              <w:spacing w:line="280" w:lineRule="exact"/>
              <w:jc w:val="center"/>
              <w:textAlignment w:val="center"/>
              <w:rPr>
                <w:color w:val="auto"/>
                <w:sz w:val="20"/>
                <w:szCs w:val="20"/>
              </w:rPr>
            </w:pPr>
            <w:r>
              <w:rPr>
                <w:rFonts w:hint="eastAsia"/>
                <w:color w:val="auto"/>
                <w:sz w:val="20"/>
                <w:szCs w:val="20"/>
              </w:rPr>
              <w:t>节约额</w:t>
            </w:r>
          </w:p>
        </w:tc>
        <w:tc>
          <w:tcPr>
            <w:tcW w:w="649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10%</w:t>
            </w:r>
          </w:p>
        </w:tc>
      </w:tr>
      <w:tr>
        <w:tblPrEx>
          <w:tblCellMar>
            <w:top w:w="0" w:type="dxa"/>
            <w:left w:w="0" w:type="dxa"/>
            <w:bottom w:w="0" w:type="dxa"/>
            <w:right w:w="0" w:type="dxa"/>
          </w:tblCellMar>
        </w:tblPrEx>
        <w:trPr>
          <w:trHeight w:val="469"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4</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施工图工程预算编制或审核</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tc>
        <w:tc>
          <w:tcPr>
            <w:tcW w:w="412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根据施工图计算工程量，套用预算定额，编制或审核工程预算造价。</w:t>
            </w:r>
          </w:p>
        </w:tc>
        <w:tc>
          <w:tcPr>
            <w:tcW w:w="56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预算价</w:t>
            </w: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3.24</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2.88</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2.76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2.52</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2.28</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2.16</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1.92</w:t>
            </w:r>
          </w:p>
        </w:tc>
      </w:tr>
      <w:tr>
        <w:tblPrEx>
          <w:tblCellMar>
            <w:top w:w="0" w:type="dxa"/>
            <w:left w:w="0" w:type="dxa"/>
            <w:bottom w:w="0" w:type="dxa"/>
            <w:right w:w="0" w:type="dxa"/>
          </w:tblCellMar>
        </w:tblPrEx>
        <w:trPr>
          <w:trHeight w:val="683" w:hRule="atLeast"/>
          <w:jc w:val="center"/>
        </w:trPr>
        <w:tc>
          <w:tcPr>
            <w:tcW w:w="43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增选工作</w:t>
            </w:r>
          </w:p>
        </w:tc>
        <w:tc>
          <w:tcPr>
            <w:tcW w:w="4122" w:type="dxa"/>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280" w:lineRule="exact"/>
              <w:rPr>
                <w:color w:val="auto"/>
                <w:sz w:val="20"/>
                <w:szCs w:val="20"/>
              </w:rPr>
            </w:pPr>
            <w:r>
              <w:rPr>
                <w:rFonts w:hint="eastAsia"/>
                <w:color w:val="auto"/>
                <w:sz w:val="20"/>
                <w:szCs w:val="20"/>
              </w:rPr>
              <w:t>计算或审核</w:t>
            </w:r>
            <w:r>
              <w:rPr>
                <w:color w:val="auto"/>
                <w:sz w:val="20"/>
                <w:szCs w:val="20"/>
              </w:rPr>
              <w:t>分析主要技术经济指标；分析工程量、工程设计等变化风险，提出有效控制工程造价的建议</w:t>
            </w:r>
            <w:r>
              <w:rPr>
                <w:rFonts w:hint="eastAsia"/>
                <w:color w:val="auto"/>
                <w:sz w:val="20"/>
                <w:szCs w:val="20"/>
              </w:rPr>
              <w:t>；</w:t>
            </w:r>
            <w:r>
              <w:rPr>
                <w:color w:val="auto"/>
                <w:sz w:val="20"/>
                <w:szCs w:val="20"/>
              </w:rPr>
              <w:t>与编制单位核对数量；调整或重新编制</w:t>
            </w:r>
            <w:r>
              <w:rPr>
                <w:rFonts w:hint="eastAsia"/>
                <w:color w:val="auto"/>
                <w:sz w:val="20"/>
                <w:szCs w:val="20"/>
              </w:rPr>
              <w:t>施工图预算</w:t>
            </w:r>
            <w:r>
              <w:rPr>
                <w:color w:val="auto"/>
                <w:sz w:val="20"/>
                <w:szCs w:val="20"/>
              </w:rPr>
              <w:t>。</w:t>
            </w:r>
          </w:p>
        </w:tc>
        <w:tc>
          <w:tcPr>
            <w:tcW w:w="56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预算价</w:t>
            </w:r>
          </w:p>
        </w:tc>
        <w:tc>
          <w:tcPr>
            <w:tcW w:w="6491" w:type="dxa"/>
            <w:gridSpan w:val="7"/>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280" w:lineRule="exact"/>
              <w:jc w:val="center"/>
              <w:rPr>
                <w:color w:val="auto"/>
                <w:szCs w:val="21"/>
              </w:rPr>
            </w:pPr>
            <w:r>
              <w:rPr>
                <w:rFonts w:hint="eastAsia"/>
                <w:color w:val="auto"/>
                <w:szCs w:val="21"/>
              </w:rPr>
              <w:t>基本工作收费的</w:t>
            </w:r>
            <w:r>
              <w:rPr>
                <w:color w:val="auto"/>
                <w:szCs w:val="21"/>
              </w:rPr>
              <w:t>20%-30%</w:t>
            </w:r>
          </w:p>
        </w:tc>
      </w:tr>
      <w:tr>
        <w:tblPrEx>
          <w:tblCellMar>
            <w:top w:w="0" w:type="dxa"/>
            <w:left w:w="0" w:type="dxa"/>
            <w:bottom w:w="0" w:type="dxa"/>
            <w:right w:w="0" w:type="dxa"/>
          </w:tblCellMar>
        </w:tblPrEx>
        <w:trPr>
          <w:trHeight w:val="943"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5</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工程量清单及招标控制价的编制</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p>
            <w:pPr>
              <w:adjustRightInd w:val="0"/>
              <w:snapToGrid w:val="0"/>
              <w:spacing w:line="280" w:lineRule="exact"/>
              <w:jc w:val="center"/>
              <w:rPr>
                <w:color w:val="auto"/>
                <w:sz w:val="20"/>
                <w:szCs w:val="20"/>
              </w:rPr>
            </w:pP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根据工程量清单计量规范计算工程量，按工程量计价规范编制或审核工程量清单， 包括工程量和特征描述，依据地勘资料、招标文件及补遗、招标图纸、现场情况、施工方案、市场价格信息、委托人自身管理水平及报价策略等，编制招标控制价。</w:t>
            </w:r>
          </w:p>
        </w:tc>
        <w:tc>
          <w:tcPr>
            <w:tcW w:w="567" w:type="dxa"/>
            <w:tcBorders>
              <w:top w:val="single" w:color="000000" w:sz="4" w:space="0"/>
              <w:left w:val="single" w:color="auto" w:sz="4" w:space="0"/>
              <w:bottom w:val="single" w:color="000000" w:sz="4" w:space="0"/>
              <w:right w:val="nil"/>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000000"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招标控制价</w:t>
            </w: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val="en-US" w:eastAsia="zh-CN"/>
              </w:rPr>
            </w:pPr>
            <w:r>
              <w:rPr>
                <w:color w:val="auto"/>
                <w:szCs w:val="21"/>
              </w:rPr>
              <w:t>3.</w:t>
            </w:r>
            <w:r>
              <w:rPr>
                <w:rFonts w:hint="eastAsia"/>
                <w:color w:val="auto"/>
                <w:szCs w:val="21"/>
                <w:lang w:val="en-US" w:eastAsia="zh-CN"/>
              </w:rPr>
              <w:t>6</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3.36</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3.12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2.88</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2.64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2.28</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2.16</w:t>
            </w:r>
          </w:p>
        </w:tc>
      </w:tr>
      <w:tr>
        <w:tblPrEx>
          <w:tblCellMar>
            <w:top w:w="0" w:type="dxa"/>
            <w:left w:w="0" w:type="dxa"/>
            <w:bottom w:w="0" w:type="dxa"/>
            <w:right w:w="0" w:type="dxa"/>
          </w:tblCellMar>
        </w:tblPrEx>
        <w:trPr>
          <w:trHeight w:val="546"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增选工作</w:t>
            </w:r>
          </w:p>
        </w:tc>
        <w:tc>
          <w:tcPr>
            <w:tcW w:w="412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280" w:lineRule="exact"/>
              <w:rPr>
                <w:color w:val="auto"/>
                <w:sz w:val="20"/>
                <w:szCs w:val="20"/>
              </w:rPr>
            </w:pPr>
            <w:r>
              <w:rPr>
                <w:rFonts w:hint="eastAsia"/>
                <w:color w:val="auto"/>
                <w:sz w:val="20"/>
                <w:szCs w:val="20"/>
              </w:rPr>
              <w:t>计算并分析主要工程量指标；</w:t>
            </w:r>
            <w:r>
              <w:rPr>
                <w:color w:val="auto"/>
                <w:sz w:val="20"/>
                <w:szCs w:val="20"/>
              </w:rPr>
              <w:t>分析工程量、工程设计等变化风险，提出有效控制工程造价的建议；调整或重新编制工程量清单。</w:t>
            </w:r>
          </w:p>
        </w:tc>
        <w:tc>
          <w:tcPr>
            <w:tcW w:w="567" w:type="dxa"/>
            <w:tcBorders>
              <w:top w:val="single" w:color="000000" w:sz="4" w:space="0"/>
              <w:left w:val="single" w:color="000000" w:sz="4" w:space="0"/>
              <w:bottom w:val="single" w:color="auto" w:sz="4" w:space="0"/>
              <w:right w:val="nil"/>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建设工程</w:t>
            </w:r>
          </w:p>
        </w:tc>
        <w:tc>
          <w:tcPr>
            <w:tcW w:w="56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招标控制价</w:t>
            </w:r>
          </w:p>
        </w:tc>
        <w:tc>
          <w:tcPr>
            <w:tcW w:w="6491" w:type="dxa"/>
            <w:gridSpan w:val="7"/>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280" w:lineRule="exact"/>
              <w:jc w:val="center"/>
              <w:rPr>
                <w:color w:val="auto"/>
                <w:szCs w:val="21"/>
              </w:rPr>
            </w:pPr>
            <w:r>
              <w:rPr>
                <w:rFonts w:hint="eastAsia"/>
                <w:color w:val="auto"/>
                <w:szCs w:val="21"/>
              </w:rPr>
              <w:t>基本工作收费的</w:t>
            </w:r>
            <w:r>
              <w:rPr>
                <w:color w:val="auto"/>
                <w:szCs w:val="21"/>
              </w:rPr>
              <w:t>20%-30%</w:t>
            </w:r>
          </w:p>
        </w:tc>
      </w:tr>
      <w:tr>
        <w:tblPrEx>
          <w:tblCellMar>
            <w:top w:w="0" w:type="dxa"/>
            <w:left w:w="0" w:type="dxa"/>
            <w:bottom w:w="0" w:type="dxa"/>
            <w:right w:w="0" w:type="dxa"/>
          </w:tblCellMar>
        </w:tblPrEx>
        <w:trPr>
          <w:trHeight w:val="498"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6</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工程量清单及招标控制价的审核（核减另收费）</w:t>
            </w:r>
          </w:p>
        </w:tc>
        <w:tc>
          <w:tcPr>
            <w:tcW w:w="5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p>
            <w:pPr>
              <w:adjustRightInd w:val="0"/>
              <w:snapToGrid w:val="0"/>
              <w:spacing w:line="280" w:lineRule="exact"/>
              <w:jc w:val="center"/>
              <w:rPr>
                <w:color w:val="auto"/>
                <w:sz w:val="20"/>
                <w:szCs w:val="20"/>
              </w:rPr>
            </w:pPr>
          </w:p>
        </w:tc>
        <w:tc>
          <w:tcPr>
            <w:tcW w:w="4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根据工程量清单计量规范计算工程量，按工程量计价规范编制或审核工程量清单， 包括工程量和特征描述，依据地勘资料、招标文件及补遗、招标图纸、现场情况、施工方案、市场价格信息、委托人自身管理水平及报价策略等，审核招标控制价。</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基本收费</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送审造价</w:t>
            </w: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eastAsia="zh-CN"/>
              </w:rPr>
            </w:pPr>
            <w:r>
              <w:rPr>
                <w:rFonts w:hint="eastAsia"/>
                <w:color w:val="auto"/>
                <w:szCs w:val="21"/>
                <w:lang w:val="en-US" w:eastAsia="zh-CN"/>
              </w:rPr>
              <w:t>3</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color w:val="auto"/>
                <w:szCs w:val="21"/>
              </w:rPr>
              <w:t>2.</w:t>
            </w:r>
            <w:r>
              <w:rPr>
                <w:rFonts w:hint="eastAsia"/>
                <w:color w:val="auto"/>
                <w:szCs w:val="21"/>
                <w:lang w:val="en-US" w:eastAsia="zh-CN"/>
              </w:rPr>
              <w:t>76</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eastAsia="zh-CN"/>
              </w:rPr>
            </w:pPr>
            <w:r>
              <w:rPr>
                <w:color w:val="auto"/>
                <w:szCs w:val="21"/>
              </w:rPr>
              <w:t>2.</w:t>
            </w:r>
            <w:r>
              <w:rPr>
                <w:rFonts w:hint="eastAsia"/>
                <w:color w:val="auto"/>
                <w:szCs w:val="21"/>
                <w:lang w:val="en-US" w:eastAsia="zh-CN"/>
              </w:rPr>
              <w:t>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lang w:val="en-US" w:eastAsia="zh-CN"/>
              </w:rPr>
              <w:t>2.04</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1.8</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lang w:val="en-US" w:eastAsia="zh-CN"/>
              </w:rPr>
              <w:t>1.68</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1.56</w:t>
            </w:r>
          </w:p>
        </w:tc>
      </w:tr>
      <w:tr>
        <w:tblPrEx>
          <w:tblCellMar>
            <w:top w:w="0" w:type="dxa"/>
            <w:left w:w="0" w:type="dxa"/>
            <w:bottom w:w="0" w:type="dxa"/>
            <w:right w:w="0" w:type="dxa"/>
          </w:tblCellMar>
        </w:tblPrEx>
        <w:trPr>
          <w:trHeight w:val="772"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4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核减</w:t>
            </w:r>
            <w:r>
              <w:rPr>
                <w:color w:val="auto"/>
                <w:sz w:val="20"/>
                <w:szCs w:val="20"/>
              </w:rPr>
              <w:t>(</w:t>
            </w:r>
            <w:r>
              <w:rPr>
                <w:rFonts w:hint="eastAsia"/>
                <w:color w:val="auto"/>
                <w:sz w:val="20"/>
                <w:szCs w:val="20"/>
              </w:rPr>
              <w:t>增)另收费</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核减</w:t>
            </w:r>
            <w:r>
              <w:rPr>
                <w:color w:val="auto"/>
                <w:sz w:val="20"/>
                <w:szCs w:val="20"/>
              </w:rPr>
              <w:t>(</w:t>
            </w:r>
            <w:r>
              <w:rPr>
                <w:rFonts w:hint="eastAsia"/>
                <w:color w:val="auto"/>
                <w:sz w:val="20"/>
                <w:szCs w:val="20"/>
              </w:rPr>
              <w:t>增)额总额</w:t>
            </w:r>
          </w:p>
        </w:tc>
        <w:tc>
          <w:tcPr>
            <w:tcW w:w="649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3.5%</w:t>
            </w:r>
          </w:p>
        </w:tc>
      </w:tr>
      <w:tr>
        <w:tblPrEx>
          <w:tblCellMar>
            <w:top w:w="0" w:type="dxa"/>
            <w:left w:w="0" w:type="dxa"/>
            <w:bottom w:w="0" w:type="dxa"/>
            <w:right w:w="0" w:type="dxa"/>
          </w:tblCellMar>
        </w:tblPrEx>
        <w:trPr>
          <w:trHeight w:val="745"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增选工作</w:t>
            </w: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rPr>
                <w:color w:val="auto"/>
                <w:sz w:val="20"/>
                <w:szCs w:val="20"/>
              </w:rPr>
            </w:pPr>
            <w:r>
              <w:rPr>
                <w:color w:val="auto"/>
                <w:sz w:val="20"/>
                <w:szCs w:val="20"/>
              </w:rPr>
              <w:t>审核或计算分析主要技术经济指标；分析工程量、工程设计等变化风险，提出有效控制工程造价的建议</w:t>
            </w:r>
            <w:r>
              <w:rPr>
                <w:rFonts w:hint="eastAsia"/>
                <w:color w:val="auto"/>
                <w:sz w:val="20"/>
                <w:szCs w:val="20"/>
              </w:rPr>
              <w:t>；</w:t>
            </w:r>
            <w:r>
              <w:rPr>
                <w:color w:val="auto"/>
                <w:sz w:val="20"/>
                <w:szCs w:val="20"/>
              </w:rPr>
              <w:t>与编制单位核对数量；调整或重新编制工程量清单。</w:t>
            </w: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基本收费与核减另收费之和</w:t>
            </w:r>
          </w:p>
        </w:tc>
        <w:tc>
          <w:tcPr>
            <w:tcW w:w="649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80" w:lineRule="exact"/>
              <w:jc w:val="center"/>
              <w:rPr>
                <w:color w:val="auto"/>
                <w:szCs w:val="21"/>
              </w:rPr>
            </w:pPr>
            <w:r>
              <w:rPr>
                <w:rFonts w:hint="eastAsia"/>
                <w:color w:val="auto"/>
                <w:szCs w:val="21"/>
              </w:rPr>
              <w:t>基本工作收费的</w:t>
            </w:r>
            <w:r>
              <w:rPr>
                <w:color w:val="auto"/>
                <w:szCs w:val="21"/>
              </w:rPr>
              <w:t>20%-30%</w:t>
            </w:r>
          </w:p>
        </w:tc>
      </w:tr>
      <w:tr>
        <w:tblPrEx>
          <w:tblCellMar>
            <w:top w:w="0" w:type="dxa"/>
            <w:left w:w="0" w:type="dxa"/>
            <w:bottom w:w="0" w:type="dxa"/>
            <w:right w:w="0" w:type="dxa"/>
          </w:tblCellMar>
        </w:tblPrEx>
        <w:trPr>
          <w:trHeight w:val="646"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7</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工程结算编制</w:t>
            </w: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依据发承包合同、变更文件等进行工程量价调整，编制工程结算造价。</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最终结算价</w:t>
            </w: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3.84</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3.6</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3.36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val="en-US" w:eastAsia="zh-CN"/>
              </w:rPr>
            </w:pPr>
            <w:r>
              <w:rPr>
                <w:rFonts w:hint="eastAsia"/>
                <w:color w:val="auto"/>
                <w:szCs w:val="21"/>
                <w:lang w:val="en-US" w:eastAsia="zh-CN"/>
              </w:rPr>
              <w:t>3</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2.64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2.52</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2.4</w:t>
            </w:r>
          </w:p>
        </w:tc>
      </w:tr>
      <w:tr>
        <w:tblPrEx>
          <w:tblCellMar>
            <w:top w:w="0" w:type="dxa"/>
            <w:left w:w="0" w:type="dxa"/>
            <w:bottom w:w="0" w:type="dxa"/>
            <w:right w:w="0" w:type="dxa"/>
          </w:tblCellMar>
        </w:tblPrEx>
        <w:trPr>
          <w:trHeight w:val="962"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增选工作</w:t>
            </w: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0" w:lineRule="exact"/>
              <w:rPr>
                <w:color w:val="auto"/>
                <w:sz w:val="20"/>
                <w:szCs w:val="20"/>
              </w:rPr>
            </w:pPr>
            <w:r>
              <w:rPr>
                <w:rFonts w:hint="eastAsia"/>
                <w:color w:val="auto"/>
                <w:sz w:val="20"/>
                <w:szCs w:val="20"/>
              </w:rPr>
              <w:t>收集、整理工程结算基础资料、文件（如竣工图纸、施工记录、施工签证、索赔单、设计变更、现场环境、地质资料等）；</w:t>
            </w:r>
            <w:r>
              <w:rPr>
                <w:color w:val="auto"/>
                <w:sz w:val="20"/>
                <w:szCs w:val="20"/>
              </w:rPr>
              <w:t>计算并分析主要工程经济指标；提出对工程成本管理的建议。</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最终结算价</w:t>
            </w:r>
          </w:p>
        </w:tc>
        <w:tc>
          <w:tcPr>
            <w:tcW w:w="649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80" w:lineRule="exact"/>
              <w:jc w:val="center"/>
              <w:rPr>
                <w:color w:val="auto"/>
                <w:szCs w:val="21"/>
              </w:rPr>
            </w:pPr>
            <w:r>
              <w:rPr>
                <w:rFonts w:hint="eastAsia"/>
                <w:color w:val="auto"/>
                <w:szCs w:val="21"/>
              </w:rPr>
              <w:t>基本工作收费的</w:t>
            </w:r>
            <w:r>
              <w:rPr>
                <w:color w:val="auto"/>
                <w:szCs w:val="21"/>
              </w:rPr>
              <w:t>20%-30%</w:t>
            </w:r>
          </w:p>
        </w:tc>
      </w:tr>
      <w:tr>
        <w:tblPrEx>
          <w:tblCellMar>
            <w:top w:w="0" w:type="dxa"/>
            <w:left w:w="0" w:type="dxa"/>
            <w:bottom w:w="0" w:type="dxa"/>
            <w:right w:w="0" w:type="dxa"/>
          </w:tblCellMar>
        </w:tblPrEx>
        <w:trPr>
          <w:trHeight w:val="416"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8</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 w:val="20"/>
                <w:szCs w:val="20"/>
                <w:lang w:eastAsia="zh-CN"/>
              </w:rPr>
            </w:pPr>
            <w:r>
              <w:rPr>
                <w:rFonts w:hint="eastAsia"/>
                <w:color w:val="auto"/>
                <w:sz w:val="20"/>
                <w:szCs w:val="20"/>
              </w:rPr>
              <w:t>工程结算审核</w:t>
            </w:r>
          </w:p>
          <w:p>
            <w:pPr>
              <w:widowControl/>
              <w:adjustRightInd w:val="0"/>
              <w:snapToGrid w:val="0"/>
              <w:spacing w:line="280" w:lineRule="exact"/>
              <w:jc w:val="center"/>
              <w:textAlignment w:val="center"/>
              <w:rPr>
                <w:color w:val="auto"/>
                <w:sz w:val="20"/>
                <w:szCs w:val="20"/>
              </w:rPr>
            </w:pPr>
            <w:r>
              <w:rPr>
                <w:rFonts w:hint="eastAsia"/>
                <w:color w:val="auto"/>
                <w:sz w:val="20"/>
                <w:szCs w:val="20"/>
              </w:rPr>
              <w:t>（核减另收费）</w:t>
            </w:r>
          </w:p>
        </w:tc>
        <w:tc>
          <w:tcPr>
            <w:tcW w:w="5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tc>
        <w:tc>
          <w:tcPr>
            <w:tcW w:w="4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依据发承包合同及变更文件等，审核工程结算造价。</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基本收费</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送审造价</w:t>
            </w:r>
          </w:p>
        </w:tc>
        <w:tc>
          <w:tcPr>
            <w:tcW w:w="8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ascii="等线" w:hAnsi="等线" w:eastAsia="等线"/>
                <w:color w:val="auto"/>
                <w:lang w:val="en-US" w:eastAsia="zh-CN"/>
              </w:rPr>
              <w:t>3.12</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2.88</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2.52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2.4</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2.28</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2.04</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1.8</w:t>
            </w:r>
          </w:p>
        </w:tc>
      </w:tr>
      <w:tr>
        <w:tblPrEx>
          <w:tblCellMar>
            <w:top w:w="0" w:type="dxa"/>
            <w:left w:w="0" w:type="dxa"/>
            <w:bottom w:w="0" w:type="dxa"/>
            <w:right w:w="0" w:type="dxa"/>
          </w:tblCellMar>
        </w:tblPrEx>
        <w:trPr>
          <w:trHeight w:val="510"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4122"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80" w:lineRule="exact"/>
              <w:rPr>
                <w:color w:val="auto"/>
                <w:sz w:val="20"/>
                <w:szCs w:val="20"/>
              </w:rPr>
            </w:pPr>
          </w:p>
        </w:tc>
        <w:tc>
          <w:tcPr>
            <w:tcW w:w="567"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核减</w:t>
            </w:r>
            <w:r>
              <w:rPr>
                <w:color w:val="auto"/>
                <w:sz w:val="20"/>
                <w:szCs w:val="20"/>
              </w:rPr>
              <w:t>(</w:t>
            </w:r>
            <w:r>
              <w:rPr>
                <w:rFonts w:hint="eastAsia"/>
                <w:color w:val="auto"/>
                <w:sz w:val="20"/>
                <w:szCs w:val="20"/>
              </w:rPr>
              <w:t>增)另收费</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核减</w:t>
            </w:r>
            <w:r>
              <w:rPr>
                <w:color w:val="auto"/>
                <w:sz w:val="20"/>
                <w:szCs w:val="20"/>
              </w:rPr>
              <w:t>(</w:t>
            </w:r>
            <w:r>
              <w:rPr>
                <w:rFonts w:hint="eastAsia"/>
                <w:color w:val="auto"/>
                <w:sz w:val="20"/>
                <w:szCs w:val="20"/>
              </w:rPr>
              <w:t>增)额总额</w:t>
            </w:r>
          </w:p>
        </w:tc>
        <w:tc>
          <w:tcPr>
            <w:tcW w:w="6491" w:type="dxa"/>
            <w:gridSpan w:val="7"/>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3.5%</w:t>
            </w:r>
          </w:p>
        </w:tc>
      </w:tr>
      <w:tr>
        <w:tblPrEx>
          <w:tblCellMar>
            <w:top w:w="0" w:type="dxa"/>
            <w:left w:w="0" w:type="dxa"/>
            <w:bottom w:w="0" w:type="dxa"/>
            <w:right w:w="0" w:type="dxa"/>
          </w:tblCellMar>
        </w:tblPrEx>
        <w:trPr>
          <w:trHeight w:val="221"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增选工作</w:t>
            </w:r>
          </w:p>
        </w:tc>
        <w:tc>
          <w:tcPr>
            <w:tcW w:w="4122" w:type="dxa"/>
            <w:tcBorders>
              <w:top w:val="single" w:color="000000" w:sz="4" w:space="0"/>
              <w:left w:val="single" w:color="auto" w:sz="4" w:space="0"/>
              <w:bottom w:val="single" w:color="000000" w:sz="4" w:space="0"/>
              <w:right w:val="single" w:color="000000" w:sz="4" w:space="0"/>
            </w:tcBorders>
            <w:shd w:val="clear" w:color="auto" w:fill="auto"/>
            <w:vAlign w:val="center"/>
          </w:tcPr>
          <w:p>
            <w:pPr>
              <w:adjustRightInd w:val="0"/>
              <w:snapToGrid w:val="0"/>
              <w:spacing w:line="280" w:lineRule="exact"/>
              <w:rPr>
                <w:color w:val="auto"/>
                <w:sz w:val="20"/>
                <w:szCs w:val="20"/>
              </w:rPr>
            </w:pPr>
            <w:r>
              <w:rPr>
                <w:color w:val="auto"/>
                <w:sz w:val="20"/>
                <w:szCs w:val="20"/>
              </w:rPr>
              <w:t>审查及分析主要工程经济指标；对工程造价管理提出建议</w:t>
            </w:r>
            <w:r>
              <w:rPr>
                <w:rFonts w:hint="eastAsia"/>
                <w:color w:val="auto"/>
                <w:sz w:val="20"/>
                <w:szCs w:val="20"/>
              </w:rPr>
              <w:t>。</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r>
              <w:rPr>
                <w:rFonts w:hint="eastAsia"/>
                <w:color w:val="auto"/>
                <w:sz w:val="20"/>
                <w:szCs w:val="20"/>
              </w:rPr>
              <w:t>基本收费与核减另收费之和</w:t>
            </w:r>
          </w:p>
        </w:tc>
        <w:tc>
          <w:tcPr>
            <w:tcW w:w="6491" w:type="dxa"/>
            <w:gridSpan w:val="7"/>
            <w:tcBorders>
              <w:top w:val="single" w:color="000000" w:sz="4" w:space="0"/>
              <w:left w:val="nil"/>
              <w:bottom w:val="single" w:color="auto" w:sz="4" w:space="0"/>
              <w:right w:val="single" w:color="000000" w:sz="4" w:space="0"/>
            </w:tcBorders>
            <w:tcMar>
              <w:top w:w="15" w:type="dxa"/>
              <w:left w:w="15" w:type="dxa"/>
              <w:right w:w="15" w:type="dxa"/>
            </w:tcMar>
            <w:vAlign w:val="center"/>
          </w:tcPr>
          <w:p>
            <w:pPr>
              <w:adjustRightInd w:val="0"/>
              <w:snapToGrid w:val="0"/>
              <w:spacing w:line="280" w:lineRule="exact"/>
              <w:jc w:val="center"/>
              <w:rPr>
                <w:color w:val="auto"/>
                <w:szCs w:val="21"/>
              </w:rPr>
            </w:pPr>
            <w:r>
              <w:rPr>
                <w:rFonts w:hint="eastAsia"/>
                <w:color w:val="auto"/>
                <w:szCs w:val="21"/>
              </w:rPr>
              <w:t>基本工作收费的</w:t>
            </w:r>
            <w:r>
              <w:rPr>
                <w:color w:val="auto"/>
                <w:szCs w:val="21"/>
              </w:rPr>
              <w:t>20%-30%</w:t>
            </w:r>
          </w:p>
        </w:tc>
      </w:tr>
      <w:tr>
        <w:tblPrEx>
          <w:tblCellMar>
            <w:top w:w="0" w:type="dxa"/>
            <w:left w:w="0" w:type="dxa"/>
            <w:bottom w:w="0" w:type="dxa"/>
            <w:right w:w="0" w:type="dxa"/>
          </w:tblCellMar>
        </w:tblPrEx>
        <w:trPr>
          <w:trHeight w:val="292" w:hRule="atLeast"/>
          <w:jc w:val="center"/>
        </w:trPr>
        <w:tc>
          <w:tcPr>
            <w:tcW w:w="43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ascii="Arial" w:hAnsi="Arial" w:cs="Arial"/>
                <w:color w:val="auto"/>
                <w:sz w:val="20"/>
                <w:szCs w:val="20"/>
              </w:rPr>
            </w:pPr>
            <w:r>
              <w:rPr>
                <w:rFonts w:ascii="Arial" w:hAnsi="Arial" w:cs="Arial"/>
                <w:color w:val="auto"/>
                <w:sz w:val="20"/>
                <w:szCs w:val="20"/>
              </w:rPr>
              <w:t>9</w:t>
            </w:r>
          </w:p>
        </w:tc>
        <w:tc>
          <w:tcPr>
            <w:tcW w:w="13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color w:val="auto"/>
                <w:sz w:val="20"/>
                <w:szCs w:val="20"/>
              </w:rPr>
            </w:pPr>
            <w:r>
              <w:rPr>
                <w:rFonts w:hint="eastAsia"/>
                <w:color w:val="auto"/>
                <w:sz w:val="20"/>
                <w:szCs w:val="20"/>
              </w:rPr>
              <w:t>竣工决算编制或审核</w:t>
            </w:r>
          </w:p>
        </w:tc>
        <w:tc>
          <w:tcPr>
            <w:tcW w:w="51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color w:val="auto"/>
                <w:sz w:val="20"/>
                <w:szCs w:val="20"/>
              </w:rPr>
            </w:pPr>
            <w:r>
              <w:rPr>
                <w:rFonts w:hint="eastAsia"/>
                <w:color w:val="auto"/>
                <w:sz w:val="20"/>
                <w:szCs w:val="20"/>
              </w:rPr>
              <w:t>基本工作</w:t>
            </w:r>
          </w:p>
        </w:tc>
        <w:tc>
          <w:tcPr>
            <w:tcW w:w="4122"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textAlignment w:val="center"/>
              <w:rPr>
                <w:color w:val="auto"/>
                <w:sz w:val="20"/>
                <w:szCs w:val="20"/>
              </w:rPr>
            </w:pPr>
            <w:r>
              <w:rPr>
                <w:rFonts w:hint="eastAsia"/>
                <w:color w:val="auto"/>
                <w:sz w:val="20"/>
                <w:szCs w:val="20"/>
              </w:rPr>
              <w:t>依据工程结算成果文件和财务资料编制或审核竣工决算</w:t>
            </w:r>
          </w:p>
        </w:tc>
        <w:tc>
          <w:tcPr>
            <w:tcW w:w="5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color w:val="auto"/>
                <w:sz w:val="20"/>
                <w:szCs w:val="20"/>
              </w:rPr>
            </w:pPr>
            <w:r>
              <w:rPr>
                <w:rFonts w:hint="eastAsia"/>
                <w:color w:val="auto"/>
                <w:sz w:val="20"/>
                <w:szCs w:val="20"/>
              </w:rPr>
              <w:t>基本收费</w:t>
            </w:r>
          </w:p>
        </w:tc>
        <w:tc>
          <w:tcPr>
            <w:tcW w:w="56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color w:val="auto"/>
                <w:sz w:val="20"/>
                <w:szCs w:val="20"/>
              </w:rPr>
            </w:pPr>
            <w:r>
              <w:rPr>
                <w:rFonts w:hint="eastAsia"/>
                <w:color w:val="auto"/>
                <w:sz w:val="20"/>
                <w:szCs w:val="20"/>
              </w:rPr>
              <w:t>项目总投资</w:t>
            </w: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4.2</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3.84</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3.24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eastAsia" w:eastAsia="宋体"/>
                <w:color w:val="auto"/>
                <w:szCs w:val="21"/>
                <w:lang w:val="en-US" w:eastAsia="zh-CN"/>
              </w:rPr>
            </w:pPr>
            <w:r>
              <w:rPr>
                <w:rFonts w:hint="eastAsia"/>
                <w:color w:val="auto"/>
                <w:szCs w:val="21"/>
                <w:lang w:val="en-US" w:eastAsia="zh-CN"/>
              </w:rPr>
              <w:t>3</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2.64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2.4</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2.16</w:t>
            </w:r>
          </w:p>
        </w:tc>
      </w:tr>
      <w:tr>
        <w:tblPrEx>
          <w:tblCellMar>
            <w:top w:w="0" w:type="dxa"/>
            <w:left w:w="0" w:type="dxa"/>
            <w:bottom w:w="0" w:type="dxa"/>
            <w:right w:w="0" w:type="dxa"/>
          </w:tblCellMar>
        </w:tblPrEx>
        <w:trPr>
          <w:trHeight w:val="221" w:hRule="atLeast"/>
          <w:jc w:val="center"/>
        </w:trPr>
        <w:tc>
          <w:tcPr>
            <w:tcW w:w="436"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adjustRightInd w:val="0"/>
              <w:snapToGrid w:val="0"/>
              <w:spacing w:line="240" w:lineRule="exact"/>
              <w:jc w:val="center"/>
              <w:rPr>
                <w:rFonts w:ascii="Arial" w:hAnsi="Arial" w:cs="Arial"/>
                <w:color w:val="auto"/>
                <w:sz w:val="20"/>
                <w:szCs w:val="20"/>
              </w:rPr>
            </w:pPr>
          </w:p>
        </w:tc>
        <w:tc>
          <w:tcPr>
            <w:tcW w:w="1356"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240" w:lineRule="exact"/>
              <w:jc w:val="center"/>
              <w:rPr>
                <w:color w:val="auto"/>
                <w:sz w:val="20"/>
                <w:szCs w:val="20"/>
              </w:rPr>
            </w:pPr>
          </w:p>
        </w:tc>
        <w:tc>
          <w:tcPr>
            <w:tcW w:w="512"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240" w:lineRule="exact"/>
              <w:jc w:val="center"/>
              <w:rPr>
                <w:color w:val="auto"/>
                <w:sz w:val="20"/>
                <w:szCs w:val="20"/>
              </w:rPr>
            </w:pPr>
          </w:p>
        </w:tc>
        <w:tc>
          <w:tcPr>
            <w:tcW w:w="4122" w:type="dxa"/>
            <w:vMerge w:val="continue"/>
            <w:tcBorders>
              <w:top w:val="single" w:color="auto" w:sz="4" w:space="0"/>
              <w:left w:val="single" w:color="000000" w:sz="4" w:space="0"/>
              <w:bottom w:val="single" w:color="auto" w:sz="4" w:space="0"/>
              <w:right w:val="single" w:color="000000" w:sz="4" w:space="0"/>
            </w:tcBorders>
            <w:vAlign w:val="center"/>
          </w:tcPr>
          <w:p>
            <w:pPr>
              <w:adjustRightInd w:val="0"/>
              <w:snapToGrid w:val="0"/>
              <w:spacing w:line="240" w:lineRule="exact"/>
              <w:rPr>
                <w:color w:val="auto"/>
                <w:sz w:val="20"/>
                <w:szCs w:val="20"/>
              </w:rPr>
            </w:pPr>
          </w:p>
        </w:tc>
        <w:tc>
          <w:tcPr>
            <w:tcW w:w="5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240" w:lineRule="exact"/>
              <w:jc w:val="center"/>
              <w:rPr>
                <w:color w:val="auto"/>
                <w:sz w:val="20"/>
                <w:szCs w:val="20"/>
              </w:rPr>
            </w:pPr>
            <w:r>
              <w:rPr>
                <w:rFonts w:hint="eastAsia"/>
                <w:color w:val="auto"/>
                <w:sz w:val="20"/>
                <w:szCs w:val="20"/>
              </w:rPr>
              <w:t>核减另收费</w:t>
            </w:r>
          </w:p>
        </w:tc>
        <w:tc>
          <w:tcPr>
            <w:tcW w:w="567"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exact"/>
              <w:jc w:val="center"/>
              <w:rPr>
                <w:color w:val="auto"/>
                <w:sz w:val="20"/>
                <w:szCs w:val="20"/>
              </w:rPr>
            </w:pPr>
            <w:r>
              <w:rPr>
                <w:rFonts w:hint="eastAsia"/>
                <w:color w:val="auto"/>
                <w:sz w:val="20"/>
                <w:szCs w:val="20"/>
              </w:rPr>
              <w:t>节约金额</w:t>
            </w:r>
          </w:p>
        </w:tc>
        <w:tc>
          <w:tcPr>
            <w:tcW w:w="649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djustRightInd w:val="0"/>
              <w:snapToGrid w:val="0"/>
              <w:spacing w:line="240" w:lineRule="exact"/>
              <w:jc w:val="center"/>
              <w:rPr>
                <w:color w:val="auto"/>
                <w:szCs w:val="21"/>
              </w:rPr>
            </w:pPr>
            <w:r>
              <w:rPr>
                <w:rFonts w:hint="eastAsia"/>
                <w:color w:val="auto"/>
                <w:szCs w:val="21"/>
              </w:rPr>
              <w:t>5%</w:t>
            </w:r>
          </w:p>
        </w:tc>
      </w:tr>
      <w:tr>
        <w:tblPrEx>
          <w:tblCellMar>
            <w:top w:w="0" w:type="dxa"/>
            <w:left w:w="0" w:type="dxa"/>
            <w:bottom w:w="0" w:type="dxa"/>
            <w:right w:w="0" w:type="dxa"/>
          </w:tblCellMar>
        </w:tblPrEx>
        <w:trPr>
          <w:trHeight w:val="369" w:hRule="atLeast"/>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10</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全过程造价</w:t>
            </w:r>
          </w:p>
          <w:p>
            <w:pPr>
              <w:widowControl/>
              <w:adjustRightInd w:val="0"/>
              <w:snapToGrid w:val="0"/>
              <w:spacing w:line="280" w:lineRule="exact"/>
              <w:jc w:val="center"/>
              <w:textAlignment w:val="center"/>
              <w:rPr>
                <w:color w:val="auto"/>
                <w:sz w:val="20"/>
                <w:szCs w:val="20"/>
              </w:rPr>
            </w:pPr>
            <w:r>
              <w:rPr>
                <w:rFonts w:hint="eastAsia"/>
                <w:color w:val="auto"/>
                <w:sz w:val="20"/>
                <w:szCs w:val="20"/>
              </w:rPr>
              <w:t>咨询（不含人员驻场费用）</w:t>
            </w:r>
          </w:p>
        </w:tc>
        <w:tc>
          <w:tcPr>
            <w:tcW w:w="5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tc>
        <w:tc>
          <w:tcPr>
            <w:tcW w:w="41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前期咨询、投资经济分析、估算编制、概算编制、预算编制、制定造价控制、资金使用计划的实施方案，合同价款咨询（包括合同分析、合同交底、合同变更管理工作），施工阶段造价风险分析，审核工程预付款和期中结算及其价款支付，工程变更、签证及索赔管理，材料、设备的询价，提供核价建议，工程造价动态管理，审核及汇总过程分阶段工程结算，完成竣工结算审核，工程技术经济指标分析。</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16"/>
                <w:szCs w:val="16"/>
              </w:rPr>
            </w:pPr>
            <w:r>
              <w:rPr>
                <w:rFonts w:hint="eastAsia"/>
                <w:color w:val="auto"/>
                <w:sz w:val="16"/>
                <w:szCs w:val="16"/>
              </w:rPr>
              <w:t>建设工程（A型</w:t>
            </w:r>
            <w:r>
              <w:rPr>
                <w:color w:val="auto"/>
                <w:sz w:val="16"/>
                <w:szCs w:val="16"/>
              </w:rPr>
              <w:t>）</w:t>
            </w:r>
          </w:p>
        </w:tc>
        <w:tc>
          <w:tcPr>
            <w:tcW w:w="567"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项目投资概算额</w:t>
            </w: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lang w:eastAsia="zh-CN"/>
              </w:rPr>
              <w:t>1</w:t>
            </w:r>
            <w:r>
              <w:rPr>
                <w:rFonts w:hint="eastAsia"/>
                <w:color w:val="auto"/>
                <w:lang w:val="en-US" w:eastAsia="zh-CN"/>
              </w:rPr>
              <w:t>2.24</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11.52</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10.8</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10.08</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9.36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8.64</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7.92</w:t>
            </w:r>
          </w:p>
        </w:tc>
      </w:tr>
      <w:tr>
        <w:tblPrEx>
          <w:tblCellMar>
            <w:top w:w="0" w:type="dxa"/>
            <w:left w:w="0" w:type="dxa"/>
            <w:bottom w:w="0" w:type="dxa"/>
            <w:right w:w="0" w:type="dxa"/>
          </w:tblCellMar>
        </w:tblPrEx>
        <w:trPr>
          <w:trHeight w:val="396"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4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16"/>
                <w:szCs w:val="16"/>
              </w:rPr>
            </w:pPr>
            <w:r>
              <w:rPr>
                <w:rFonts w:hint="eastAsia"/>
                <w:color w:val="auto"/>
                <w:sz w:val="16"/>
                <w:szCs w:val="16"/>
              </w:rPr>
              <w:t>建设工程（</w:t>
            </w:r>
            <w:r>
              <w:rPr>
                <w:color w:val="auto"/>
                <w:sz w:val="16"/>
                <w:szCs w:val="16"/>
              </w:rPr>
              <w:t>B</w:t>
            </w:r>
            <w:r>
              <w:rPr>
                <w:rFonts w:hint="eastAsia"/>
                <w:color w:val="auto"/>
                <w:sz w:val="16"/>
                <w:szCs w:val="16"/>
              </w:rPr>
              <w:t>型</w:t>
            </w:r>
            <w:r>
              <w:rPr>
                <w:color w:val="auto"/>
                <w:sz w:val="16"/>
                <w:szCs w:val="16"/>
              </w:rPr>
              <w:t>）</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lang w:eastAsia="zh-CN"/>
              </w:rPr>
              <w:t>1</w:t>
            </w:r>
            <w:r>
              <w:rPr>
                <w:rFonts w:hint="eastAsia"/>
                <w:color w:val="auto"/>
                <w:lang w:val="en-US" w:eastAsia="zh-CN"/>
              </w:rPr>
              <w:t>1.52</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10.8</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10.08</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9.36</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8.64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7.92</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7.2</w:t>
            </w:r>
          </w:p>
        </w:tc>
      </w:tr>
      <w:tr>
        <w:tblPrEx>
          <w:tblCellMar>
            <w:top w:w="0" w:type="dxa"/>
            <w:left w:w="0" w:type="dxa"/>
            <w:bottom w:w="0" w:type="dxa"/>
            <w:right w:w="0" w:type="dxa"/>
          </w:tblCellMar>
        </w:tblPrEx>
        <w:trPr>
          <w:trHeight w:val="374" w:hRule="atLeast"/>
          <w:jc w:val="center"/>
        </w:trPr>
        <w:tc>
          <w:tcPr>
            <w:tcW w:w="43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41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16"/>
                <w:szCs w:val="16"/>
              </w:rPr>
            </w:pPr>
            <w:r>
              <w:rPr>
                <w:rFonts w:hint="eastAsia"/>
                <w:color w:val="auto"/>
                <w:sz w:val="16"/>
                <w:szCs w:val="16"/>
              </w:rPr>
              <w:t>建设工程（</w:t>
            </w:r>
            <w:r>
              <w:rPr>
                <w:color w:val="auto"/>
                <w:sz w:val="16"/>
                <w:szCs w:val="16"/>
              </w:rPr>
              <w:t>C</w:t>
            </w:r>
            <w:r>
              <w:rPr>
                <w:rFonts w:hint="eastAsia"/>
                <w:color w:val="auto"/>
                <w:sz w:val="16"/>
                <w:szCs w:val="16"/>
              </w:rPr>
              <w:t>型</w:t>
            </w:r>
            <w:r>
              <w:rPr>
                <w:color w:val="auto"/>
                <w:sz w:val="16"/>
                <w:szCs w:val="16"/>
              </w:rPr>
              <w:t>）</w:t>
            </w:r>
          </w:p>
        </w:tc>
        <w:tc>
          <w:tcPr>
            <w:tcW w:w="567"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lang w:eastAsia="zh-CN"/>
              </w:rPr>
              <w:t>1</w:t>
            </w:r>
            <w:r>
              <w:rPr>
                <w:rFonts w:hint="eastAsia"/>
                <w:color w:val="auto"/>
                <w:lang w:val="en-US" w:eastAsia="zh-CN"/>
              </w:rPr>
              <w:t>0.8</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10.08</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9.36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8.64</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7.92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7.2</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6.48</w:t>
            </w:r>
          </w:p>
        </w:tc>
      </w:tr>
      <w:tr>
        <w:tblPrEx>
          <w:tblCellMar>
            <w:top w:w="0" w:type="dxa"/>
            <w:left w:w="0" w:type="dxa"/>
            <w:bottom w:w="0" w:type="dxa"/>
            <w:right w:w="0" w:type="dxa"/>
          </w:tblCellMar>
        </w:tblPrEx>
        <w:trPr>
          <w:trHeight w:val="352" w:hRule="atLeast"/>
          <w:jc w:val="center"/>
        </w:trPr>
        <w:tc>
          <w:tcPr>
            <w:tcW w:w="436"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p>
        </w:tc>
        <w:tc>
          <w:tcPr>
            <w:tcW w:w="1356"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512" w:type="dxa"/>
            <w:vMerge w:val="continue"/>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4122"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p>
        </w:tc>
        <w:tc>
          <w:tcPr>
            <w:tcW w:w="567" w:type="dxa"/>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16"/>
                <w:szCs w:val="16"/>
              </w:rPr>
            </w:pPr>
            <w:r>
              <w:rPr>
                <w:rFonts w:hint="eastAsia"/>
                <w:color w:val="auto"/>
                <w:sz w:val="16"/>
                <w:szCs w:val="16"/>
              </w:rPr>
              <w:t>建设工程（</w:t>
            </w:r>
            <w:r>
              <w:rPr>
                <w:color w:val="auto"/>
                <w:sz w:val="16"/>
                <w:szCs w:val="16"/>
              </w:rPr>
              <w:t>D</w:t>
            </w:r>
            <w:r>
              <w:rPr>
                <w:rFonts w:hint="eastAsia"/>
                <w:color w:val="auto"/>
                <w:sz w:val="16"/>
                <w:szCs w:val="16"/>
              </w:rPr>
              <w:t>型</w:t>
            </w:r>
            <w:r>
              <w:rPr>
                <w:color w:val="auto"/>
                <w:sz w:val="16"/>
                <w:szCs w:val="16"/>
              </w:rPr>
              <w:t>）</w:t>
            </w:r>
          </w:p>
        </w:tc>
        <w:tc>
          <w:tcPr>
            <w:tcW w:w="567" w:type="dxa"/>
            <w:vMerge w:val="continue"/>
            <w:tcBorders>
              <w:top w:val="single" w:color="auto"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tc>
        <w:tc>
          <w:tcPr>
            <w:tcW w:w="8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ascii="等线" w:hAnsi="等线" w:eastAsia="等线"/>
                <w:color w:val="auto"/>
                <w:lang w:val="en-US" w:eastAsia="zh-CN"/>
              </w:rPr>
              <w:t>10.08</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9.36</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8.64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7.92</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7.2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6.48</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5.76</w:t>
            </w:r>
          </w:p>
        </w:tc>
      </w:tr>
      <w:tr>
        <w:tblPrEx>
          <w:tblCellMar>
            <w:top w:w="0" w:type="dxa"/>
            <w:left w:w="0" w:type="dxa"/>
            <w:bottom w:w="0" w:type="dxa"/>
            <w:right w:w="0" w:type="dxa"/>
          </w:tblCellMar>
        </w:tblPrEx>
        <w:trPr>
          <w:trHeight w:val="453" w:hRule="atLeast"/>
          <w:jc w:val="center"/>
        </w:trPr>
        <w:tc>
          <w:tcPr>
            <w:tcW w:w="43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4122" w:type="dxa"/>
            <w:tcBorders>
              <w:top w:val="single" w:color="auto" w:sz="4" w:space="0"/>
              <w:left w:val="single" w:color="000000" w:sz="4" w:space="0"/>
              <w:bottom w:val="single" w:color="auto" w:sz="4" w:space="0"/>
              <w:right w:val="single" w:color="000000" w:sz="4" w:space="0"/>
            </w:tcBorders>
            <w:shd w:val="clear" w:color="auto" w:fill="auto"/>
            <w:vAlign w:val="center"/>
          </w:tcPr>
          <w:p>
            <w:pPr>
              <w:adjustRightInd w:val="0"/>
              <w:snapToGrid w:val="0"/>
              <w:spacing w:line="240" w:lineRule="exact"/>
              <w:jc w:val="center"/>
              <w:rPr>
                <w:color w:val="auto"/>
                <w:sz w:val="20"/>
                <w:szCs w:val="20"/>
              </w:rPr>
            </w:pPr>
            <w:r>
              <w:rPr>
                <w:rFonts w:hint="eastAsia"/>
                <w:color w:val="auto"/>
                <w:sz w:val="20"/>
                <w:szCs w:val="20"/>
              </w:rPr>
              <w:t>核减</w:t>
            </w:r>
            <w:r>
              <w:rPr>
                <w:color w:val="auto"/>
                <w:sz w:val="20"/>
                <w:szCs w:val="20"/>
              </w:rPr>
              <w:t>(</w:t>
            </w:r>
            <w:r>
              <w:rPr>
                <w:rFonts w:hint="eastAsia"/>
                <w:color w:val="auto"/>
                <w:sz w:val="20"/>
                <w:szCs w:val="20"/>
              </w:rPr>
              <w:t>增)另收费</w:t>
            </w:r>
          </w:p>
        </w:tc>
        <w:tc>
          <w:tcPr>
            <w:tcW w:w="567" w:type="dxa"/>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adjustRightInd w:val="0"/>
              <w:snapToGrid w:val="0"/>
              <w:spacing w:line="240" w:lineRule="exact"/>
              <w:jc w:val="center"/>
              <w:rPr>
                <w:color w:val="auto"/>
                <w:sz w:val="20"/>
                <w:szCs w:val="20"/>
              </w:rPr>
            </w:pPr>
            <w:r>
              <w:rPr>
                <w:rFonts w:hint="eastAsia"/>
                <w:color w:val="auto"/>
                <w:sz w:val="20"/>
                <w:szCs w:val="20"/>
              </w:rPr>
              <w:t>建设工程</w:t>
            </w:r>
          </w:p>
        </w:tc>
        <w:tc>
          <w:tcPr>
            <w:tcW w:w="567"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adjustRightInd w:val="0"/>
              <w:snapToGrid w:val="0"/>
              <w:spacing w:line="240" w:lineRule="exact"/>
              <w:jc w:val="center"/>
              <w:rPr>
                <w:color w:val="auto"/>
                <w:sz w:val="20"/>
                <w:szCs w:val="20"/>
              </w:rPr>
            </w:pPr>
            <w:r>
              <w:rPr>
                <w:rFonts w:hint="eastAsia"/>
                <w:color w:val="auto"/>
                <w:sz w:val="20"/>
                <w:szCs w:val="20"/>
              </w:rPr>
              <w:t>核减</w:t>
            </w:r>
            <w:r>
              <w:rPr>
                <w:color w:val="auto"/>
                <w:sz w:val="20"/>
                <w:szCs w:val="20"/>
              </w:rPr>
              <w:t>(</w:t>
            </w:r>
            <w:r>
              <w:rPr>
                <w:rFonts w:hint="eastAsia"/>
                <w:color w:val="auto"/>
                <w:sz w:val="20"/>
                <w:szCs w:val="20"/>
              </w:rPr>
              <w:t>增)额总额</w:t>
            </w:r>
          </w:p>
        </w:tc>
        <w:tc>
          <w:tcPr>
            <w:tcW w:w="6491" w:type="dxa"/>
            <w:gridSpan w:val="7"/>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adjustRightInd w:val="0"/>
              <w:snapToGrid w:val="0"/>
              <w:spacing w:line="240" w:lineRule="exact"/>
              <w:jc w:val="center"/>
              <w:rPr>
                <w:color w:val="auto"/>
                <w:szCs w:val="21"/>
              </w:rPr>
            </w:pPr>
            <w:r>
              <w:rPr>
                <w:color w:val="auto"/>
                <w:szCs w:val="21"/>
              </w:rPr>
              <w:t>4%</w:t>
            </w:r>
          </w:p>
        </w:tc>
      </w:tr>
      <w:tr>
        <w:tblPrEx>
          <w:tblCellMar>
            <w:top w:w="0" w:type="dxa"/>
            <w:left w:w="0" w:type="dxa"/>
            <w:bottom w:w="0" w:type="dxa"/>
            <w:right w:w="0" w:type="dxa"/>
          </w:tblCellMar>
        </w:tblPrEx>
        <w:trPr>
          <w:trHeight w:val="364" w:hRule="atLeast"/>
          <w:jc w:val="center"/>
        </w:trPr>
        <w:tc>
          <w:tcPr>
            <w:tcW w:w="436"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11.1</w:t>
            </w:r>
          </w:p>
        </w:tc>
        <w:tc>
          <w:tcPr>
            <w:tcW w:w="13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p>
          <w:p>
            <w:pPr>
              <w:widowControl/>
              <w:adjustRightInd w:val="0"/>
              <w:snapToGrid w:val="0"/>
              <w:spacing w:line="280" w:lineRule="exact"/>
              <w:jc w:val="center"/>
              <w:textAlignment w:val="center"/>
              <w:rPr>
                <w:color w:val="auto"/>
                <w:sz w:val="20"/>
                <w:szCs w:val="20"/>
              </w:rPr>
            </w:pPr>
          </w:p>
          <w:p>
            <w:pPr>
              <w:widowControl/>
              <w:adjustRightInd w:val="0"/>
              <w:snapToGrid w:val="0"/>
              <w:spacing w:line="280" w:lineRule="exact"/>
              <w:jc w:val="center"/>
              <w:textAlignment w:val="center"/>
              <w:rPr>
                <w:color w:val="auto"/>
                <w:sz w:val="20"/>
                <w:szCs w:val="20"/>
              </w:rPr>
            </w:pPr>
          </w:p>
          <w:p>
            <w:pPr>
              <w:widowControl/>
              <w:adjustRightInd w:val="0"/>
              <w:snapToGrid w:val="0"/>
              <w:spacing w:line="280" w:lineRule="exact"/>
              <w:jc w:val="center"/>
              <w:textAlignment w:val="center"/>
              <w:rPr>
                <w:color w:val="auto"/>
                <w:sz w:val="20"/>
                <w:szCs w:val="20"/>
              </w:rPr>
            </w:pPr>
            <w:r>
              <w:rPr>
                <w:rFonts w:hint="eastAsia"/>
                <w:color w:val="auto"/>
                <w:sz w:val="20"/>
                <w:szCs w:val="20"/>
              </w:rPr>
              <w:t>造价咨询分项服务</w:t>
            </w:r>
          </w:p>
        </w:tc>
        <w:tc>
          <w:tcPr>
            <w:tcW w:w="512"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top"/>
              <w:rPr>
                <w:color w:val="auto"/>
                <w:sz w:val="20"/>
                <w:szCs w:val="20"/>
              </w:rPr>
            </w:pPr>
            <w:r>
              <w:rPr>
                <w:rFonts w:hint="eastAsia"/>
                <w:color w:val="auto"/>
                <w:sz w:val="20"/>
                <w:szCs w:val="20"/>
              </w:rPr>
              <w:t>基本工作</w:t>
            </w:r>
          </w:p>
        </w:tc>
        <w:tc>
          <w:tcPr>
            <w:tcW w:w="4122" w:type="dxa"/>
            <w:tcBorders>
              <w:top w:val="single" w:color="auto" w:sz="4" w:space="0"/>
              <w:left w:val="single" w:color="auto" w:sz="4" w:space="0"/>
              <w:right w:val="single" w:color="auto" w:sz="4" w:space="0"/>
            </w:tcBorders>
            <w:shd w:val="clear" w:color="auto" w:fill="auto"/>
          </w:tcPr>
          <w:p>
            <w:pPr>
              <w:adjustRightInd w:val="0"/>
              <w:snapToGrid w:val="0"/>
              <w:spacing w:line="280" w:lineRule="exact"/>
              <w:textAlignment w:val="center"/>
              <w:rPr>
                <w:color w:val="auto"/>
                <w:sz w:val="20"/>
                <w:szCs w:val="20"/>
              </w:rPr>
            </w:pPr>
            <w:r>
              <w:rPr>
                <w:rFonts w:hint="eastAsia"/>
                <w:color w:val="auto"/>
                <w:sz w:val="20"/>
                <w:szCs w:val="20"/>
              </w:rPr>
              <w:t>招标文件审核、投标文件分析、施工阶段风险分析、编制资金使用计划</w:t>
            </w:r>
          </w:p>
        </w:tc>
        <w:tc>
          <w:tcPr>
            <w:tcW w:w="567" w:type="dxa"/>
            <w:tcBorders>
              <w:top w:val="single" w:color="auto" w:sz="4" w:space="0"/>
              <w:left w:val="single" w:color="auto" w:sz="4" w:space="0"/>
              <w:right w:val="nil"/>
            </w:tcBorders>
            <w:shd w:val="clear" w:color="auto" w:fill="FFFFFF"/>
            <w:tcMar>
              <w:top w:w="15" w:type="dxa"/>
              <w:left w:w="15" w:type="dxa"/>
              <w:right w:w="15" w:type="dxa"/>
            </w:tcMar>
            <w:vAlign w:val="center"/>
          </w:tcPr>
          <w:p>
            <w:pPr>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auto" w:sz="4" w:space="0"/>
              <w:left w:val="single" w:color="000000"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textAlignment w:val="center"/>
              <w:rPr>
                <w:color w:val="auto"/>
                <w:sz w:val="20"/>
                <w:szCs w:val="20"/>
              </w:rPr>
            </w:pPr>
            <w:r>
              <w:rPr>
                <w:rFonts w:hint="eastAsia"/>
                <w:color w:val="auto"/>
                <w:sz w:val="20"/>
                <w:szCs w:val="20"/>
              </w:rPr>
              <w:t>概算价</w:t>
            </w:r>
          </w:p>
        </w:tc>
        <w:tc>
          <w:tcPr>
            <w:tcW w:w="85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eastAsia="zh-CN"/>
              </w:rPr>
              <w:t>1</w:t>
            </w:r>
            <w:r>
              <w:rPr>
                <w:rFonts w:hint="eastAsia"/>
                <w:color w:val="auto"/>
                <w:szCs w:val="21"/>
                <w:lang w:val="en-US" w:eastAsia="zh-CN"/>
              </w:rPr>
              <w:t>.92</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1.68</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1.56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1.2</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1.08</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0.96</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40" w:lineRule="exact"/>
              <w:jc w:val="center"/>
              <w:textAlignment w:val="center"/>
              <w:rPr>
                <w:rFonts w:hint="default" w:eastAsia="宋体"/>
                <w:color w:val="auto"/>
                <w:szCs w:val="21"/>
                <w:lang w:val="en-US" w:eastAsia="zh-CN"/>
              </w:rPr>
            </w:pPr>
            <w:r>
              <w:rPr>
                <w:rFonts w:hint="eastAsia"/>
                <w:color w:val="auto"/>
                <w:szCs w:val="21"/>
                <w:lang w:val="en-US" w:eastAsia="zh-CN"/>
              </w:rPr>
              <w:t>0.84</w:t>
            </w:r>
          </w:p>
        </w:tc>
      </w:tr>
      <w:tr>
        <w:tblPrEx>
          <w:tblCellMar>
            <w:top w:w="0" w:type="dxa"/>
            <w:left w:w="0" w:type="dxa"/>
            <w:bottom w:w="0" w:type="dxa"/>
            <w:right w:w="0" w:type="dxa"/>
          </w:tblCellMar>
        </w:tblPrEx>
        <w:trPr>
          <w:trHeight w:val="446"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11.2</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auto"/>
                <w:sz w:val="20"/>
                <w:szCs w:val="20"/>
              </w:rPr>
            </w:pPr>
          </w:p>
        </w:tc>
        <w:tc>
          <w:tcPr>
            <w:tcW w:w="412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合同管理（包括与造价相关内容的合同分析、合同交底）</w:t>
            </w:r>
          </w:p>
        </w:tc>
        <w:tc>
          <w:tcPr>
            <w:tcW w:w="567" w:type="dxa"/>
            <w:tcBorders>
              <w:top w:val="single" w:color="auto" w:sz="4" w:space="0"/>
              <w:left w:val="single" w:color="000000" w:sz="4" w:space="0"/>
              <w:bottom w:val="single" w:color="000000" w:sz="4" w:space="0"/>
              <w:right w:val="nil"/>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合同价</w:t>
            </w:r>
          </w:p>
        </w:tc>
        <w:tc>
          <w:tcPr>
            <w:tcW w:w="851"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eastAsia="zh-CN"/>
              </w:rPr>
              <w:t>1</w:t>
            </w:r>
            <w:r>
              <w:rPr>
                <w:rFonts w:hint="eastAsia"/>
                <w:color w:val="auto"/>
                <w:szCs w:val="21"/>
                <w:lang w:val="en-US" w:eastAsia="zh-CN"/>
              </w:rPr>
              <w:t>.68</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1.44</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1.2</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0.96</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0.84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0.72</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0.6</w:t>
            </w:r>
          </w:p>
        </w:tc>
      </w:tr>
      <w:tr>
        <w:tblPrEx>
          <w:tblCellMar>
            <w:top w:w="0" w:type="dxa"/>
            <w:left w:w="0" w:type="dxa"/>
            <w:bottom w:w="0" w:type="dxa"/>
            <w:right w:w="0" w:type="dxa"/>
          </w:tblCellMar>
        </w:tblPrEx>
        <w:trPr>
          <w:trHeight w:val="206"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11.3</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auto"/>
                <w:sz w:val="20"/>
                <w:szCs w:val="20"/>
              </w:rPr>
            </w:pPr>
          </w:p>
        </w:tc>
        <w:tc>
          <w:tcPr>
            <w:tcW w:w="4122"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工程进度款审核（含预付款、安全费）</w:t>
            </w:r>
          </w:p>
        </w:tc>
        <w:tc>
          <w:tcPr>
            <w:tcW w:w="567" w:type="dxa"/>
            <w:tcBorders>
              <w:top w:val="nil"/>
              <w:left w:val="single" w:color="000000" w:sz="4" w:space="0"/>
              <w:bottom w:val="single" w:color="auto" w:sz="4" w:space="0"/>
              <w:right w:val="nil"/>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nil"/>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合同价</w:t>
            </w:r>
          </w:p>
        </w:tc>
        <w:tc>
          <w:tcPr>
            <w:tcW w:w="851"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1.8</w:t>
            </w:r>
          </w:p>
        </w:tc>
        <w:tc>
          <w:tcPr>
            <w:tcW w:w="85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1.56</w:t>
            </w:r>
          </w:p>
        </w:tc>
        <w:tc>
          <w:tcPr>
            <w:tcW w:w="113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1.32</w:t>
            </w:r>
          </w:p>
        </w:tc>
        <w:tc>
          <w:tcPr>
            <w:tcW w:w="9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1.08</w:t>
            </w:r>
          </w:p>
        </w:tc>
        <w:tc>
          <w:tcPr>
            <w:tcW w:w="993"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0.96</w:t>
            </w:r>
          </w:p>
        </w:tc>
        <w:tc>
          <w:tcPr>
            <w:tcW w:w="99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0.84</w:t>
            </w:r>
          </w:p>
        </w:tc>
        <w:tc>
          <w:tcPr>
            <w:tcW w:w="67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0.72</w:t>
            </w:r>
          </w:p>
        </w:tc>
      </w:tr>
      <w:tr>
        <w:tblPrEx>
          <w:tblCellMar>
            <w:top w:w="0" w:type="dxa"/>
            <w:left w:w="0" w:type="dxa"/>
            <w:bottom w:w="0" w:type="dxa"/>
            <w:right w:w="0" w:type="dxa"/>
          </w:tblCellMar>
        </w:tblPrEx>
        <w:trPr>
          <w:trHeight w:val="380"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11.4</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auto"/>
                <w:sz w:val="20"/>
                <w:szCs w:val="20"/>
              </w:rPr>
            </w:pPr>
          </w:p>
        </w:tc>
        <w:tc>
          <w:tcPr>
            <w:tcW w:w="412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工程变更（签证）管理（含变更预评估、变更价款审核等）、动态管理、工程索赔管理</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送审价</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2.28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2.04</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1.8</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1.68</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1.44</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1.32</w:t>
            </w:r>
          </w:p>
        </w:tc>
        <w:tc>
          <w:tcPr>
            <w:tcW w:w="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1.2</w:t>
            </w:r>
          </w:p>
        </w:tc>
      </w:tr>
      <w:tr>
        <w:tblPrEx>
          <w:tblCellMar>
            <w:top w:w="0" w:type="dxa"/>
            <w:left w:w="0" w:type="dxa"/>
            <w:bottom w:w="0" w:type="dxa"/>
            <w:right w:w="0" w:type="dxa"/>
          </w:tblCellMar>
        </w:tblPrEx>
        <w:trPr>
          <w:trHeight w:val="249"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11.5</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auto"/>
                <w:sz w:val="20"/>
                <w:szCs w:val="20"/>
              </w:rPr>
            </w:pPr>
          </w:p>
        </w:tc>
        <w:tc>
          <w:tcPr>
            <w:tcW w:w="4122"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分段结算（基本费）</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送审价</w:t>
            </w:r>
          </w:p>
        </w:tc>
        <w:tc>
          <w:tcPr>
            <w:tcW w:w="8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3.6</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3.36</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eastAsia" w:eastAsia="宋体"/>
                <w:color w:val="auto"/>
                <w:szCs w:val="21"/>
                <w:lang w:val="en-US" w:eastAsia="zh-CN"/>
              </w:rPr>
            </w:pPr>
            <w:r>
              <w:rPr>
                <w:rFonts w:hint="eastAsia"/>
                <w:color w:val="auto"/>
                <w:szCs w:val="21"/>
                <w:lang w:val="en-US" w:eastAsia="zh-CN"/>
              </w:rPr>
              <w:t>3</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2.88</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2.76</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2.64</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2.28</w:t>
            </w:r>
          </w:p>
        </w:tc>
      </w:tr>
      <w:tr>
        <w:tblPrEx>
          <w:tblCellMar>
            <w:top w:w="0" w:type="dxa"/>
            <w:left w:w="0" w:type="dxa"/>
            <w:bottom w:w="0" w:type="dxa"/>
            <w:right w:w="0" w:type="dxa"/>
          </w:tblCellMar>
        </w:tblPrEx>
        <w:trPr>
          <w:trHeight w:val="570"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11.6</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auto"/>
                <w:sz w:val="20"/>
                <w:szCs w:val="20"/>
              </w:rPr>
            </w:pPr>
          </w:p>
        </w:tc>
        <w:tc>
          <w:tcPr>
            <w:tcW w:w="412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分段结算（核减与核增另收费）</w:t>
            </w:r>
          </w:p>
        </w:tc>
        <w:tc>
          <w:tcPr>
            <w:tcW w:w="567" w:type="dxa"/>
            <w:tcBorders>
              <w:top w:val="single" w:color="auto" w:sz="4" w:space="0"/>
              <w:left w:val="single" w:color="000000" w:sz="4" w:space="0"/>
              <w:bottom w:val="single" w:color="auto" w:sz="4" w:space="0"/>
              <w:right w:val="nil"/>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核减</w:t>
            </w:r>
            <w:r>
              <w:rPr>
                <w:color w:val="auto"/>
                <w:sz w:val="20"/>
                <w:szCs w:val="20"/>
              </w:rPr>
              <w:t>(</w:t>
            </w:r>
            <w:r>
              <w:rPr>
                <w:rFonts w:hint="eastAsia"/>
                <w:color w:val="auto"/>
                <w:sz w:val="20"/>
                <w:szCs w:val="20"/>
              </w:rPr>
              <w:t>增)额总额</w:t>
            </w:r>
          </w:p>
        </w:tc>
        <w:tc>
          <w:tcPr>
            <w:tcW w:w="6491" w:type="dxa"/>
            <w:gridSpan w:val="7"/>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3.5%</w:t>
            </w:r>
          </w:p>
        </w:tc>
      </w:tr>
      <w:tr>
        <w:tblPrEx>
          <w:tblCellMar>
            <w:top w:w="0" w:type="dxa"/>
            <w:left w:w="0" w:type="dxa"/>
            <w:bottom w:w="0" w:type="dxa"/>
            <w:right w:w="0" w:type="dxa"/>
          </w:tblCellMar>
        </w:tblPrEx>
        <w:trPr>
          <w:trHeight w:val="320"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11.7</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auto"/>
                <w:sz w:val="20"/>
                <w:szCs w:val="20"/>
              </w:rPr>
            </w:pP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材料（设备）询价</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材料价</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eastAsia="zh-CN"/>
              </w:rPr>
              <w:t>1</w:t>
            </w:r>
            <w:r>
              <w:rPr>
                <w:rFonts w:hint="eastAsia"/>
                <w:color w:val="auto"/>
                <w:szCs w:val="21"/>
                <w:lang w:val="en-US" w:eastAsia="zh-CN"/>
              </w:rPr>
              <w:t>.68</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1.56</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1.44</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1.32</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1.2</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1.08</w:t>
            </w:r>
          </w:p>
        </w:tc>
        <w:tc>
          <w:tcPr>
            <w:tcW w:w="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0.96</w:t>
            </w:r>
          </w:p>
        </w:tc>
      </w:tr>
      <w:tr>
        <w:tblPrEx>
          <w:tblCellMar>
            <w:top w:w="0" w:type="dxa"/>
            <w:left w:w="0" w:type="dxa"/>
            <w:bottom w:w="0" w:type="dxa"/>
            <w:right w:w="0" w:type="dxa"/>
          </w:tblCellMar>
        </w:tblPrEx>
        <w:trPr>
          <w:trHeight w:val="489" w:hRule="atLeast"/>
          <w:jc w:val="center"/>
        </w:trPr>
        <w:tc>
          <w:tcPr>
            <w:tcW w:w="4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11.8</w:t>
            </w:r>
          </w:p>
        </w:tc>
        <w:tc>
          <w:tcPr>
            <w:tcW w:w="1356"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auto"/>
                <w:sz w:val="20"/>
                <w:szCs w:val="20"/>
              </w:rPr>
            </w:pPr>
          </w:p>
        </w:tc>
        <w:tc>
          <w:tcPr>
            <w:tcW w:w="4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配合完成竣工结算编制（或审核）、工程技术经济指标分析</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结算价</w:t>
            </w: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1.92</w:t>
            </w:r>
          </w:p>
        </w:tc>
        <w:tc>
          <w:tcPr>
            <w:tcW w:w="8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1.8</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1.68</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1.44</w:t>
            </w:r>
          </w:p>
        </w:tc>
        <w:tc>
          <w:tcPr>
            <w:tcW w:w="9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1.32</w:t>
            </w:r>
          </w:p>
        </w:tc>
        <w:tc>
          <w:tcPr>
            <w:tcW w:w="9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1.2</w:t>
            </w:r>
          </w:p>
        </w:tc>
        <w:tc>
          <w:tcPr>
            <w:tcW w:w="67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1.08</w:t>
            </w:r>
          </w:p>
        </w:tc>
      </w:tr>
      <w:tr>
        <w:tblPrEx>
          <w:tblCellMar>
            <w:top w:w="0" w:type="dxa"/>
            <w:left w:w="0" w:type="dxa"/>
            <w:bottom w:w="0" w:type="dxa"/>
            <w:right w:w="0" w:type="dxa"/>
          </w:tblCellMar>
        </w:tblPrEx>
        <w:trPr>
          <w:trHeight w:val="347" w:hRule="atLeast"/>
          <w:jc w:val="center"/>
        </w:trPr>
        <w:tc>
          <w:tcPr>
            <w:tcW w:w="436"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12</w:t>
            </w:r>
          </w:p>
        </w:tc>
        <w:tc>
          <w:tcPr>
            <w:tcW w:w="1356"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工程结算复审</w:t>
            </w:r>
          </w:p>
        </w:tc>
        <w:tc>
          <w:tcPr>
            <w:tcW w:w="512"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tc>
        <w:tc>
          <w:tcPr>
            <w:tcW w:w="4122"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依据发承包招投标文件、合同、签证、设计变更等文件资料，复审工程结算造价。</w:t>
            </w:r>
          </w:p>
        </w:tc>
        <w:tc>
          <w:tcPr>
            <w:tcW w:w="567"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基本收费</w:t>
            </w:r>
          </w:p>
        </w:tc>
        <w:tc>
          <w:tcPr>
            <w:tcW w:w="567" w:type="dxa"/>
            <w:tcBorders>
              <w:top w:val="single" w:color="auto" w:sz="4" w:space="0"/>
              <w:left w:val="single" w:color="000000" w:sz="4" w:space="0"/>
              <w:bottom w:val="single" w:color="000000"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送审价</w:t>
            </w:r>
          </w:p>
        </w:tc>
        <w:tc>
          <w:tcPr>
            <w:tcW w:w="851"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3.48</w:t>
            </w:r>
          </w:p>
        </w:tc>
        <w:tc>
          <w:tcPr>
            <w:tcW w:w="8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3.24</w:t>
            </w:r>
          </w:p>
        </w:tc>
        <w:tc>
          <w:tcPr>
            <w:tcW w:w="113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2.88</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2.76</w:t>
            </w:r>
          </w:p>
        </w:tc>
        <w:tc>
          <w:tcPr>
            <w:tcW w:w="99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2.64</w:t>
            </w:r>
          </w:p>
        </w:tc>
        <w:tc>
          <w:tcPr>
            <w:tcW w:w="99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2.4</w:t>
            </w:r>
          </w:p>
        </w:tc>
        <w:tc>
          <w:tcPr>
            <w:tcW w:w="6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rFonts w:hint="default" w:eastAsia="宋体"/>
                <w:color w:val="auto"/>
                <w:szCs w:val="21"/>
                <w:lang w:val="en-US" w:eastAsia="zh-CN"/>
              </w:rPr>
            </w:pPr>
            <w:r>
              <w:rPr>
                <w:rFonts w:hint="eastAsia"/>
                <w:color w:val="auto"/>
                <w:szCs w:val="21"/>
                <w:lang w:val="en-US" w:eastAsia="zh-CN"/>
              </w:rPr>
              <w:t>2.16</w:t>
            </w:r>
          </w:p>
        </w:tc>
      </w:tr>
      <w:tr>
        <w:tblPrEx>
          <w:tblCellMar>
            <w:top w:w="0" w:type="dxa"/>
            <w:left w:w="0" w:type="dxa"/>
            <w:bottom w:w="0" w:type="dxa"/>
            <w:right w:w="0" w:type="dxa"/>
          </w:tblCellMar>
        </w:tblPrEx>
        <w:trPr>
          <w:trHeight w:val="347" w:hRule="atLeast"/>
          <w:jc w:val="center"/>
        </w:trPr>
        <w:tc>
          <w:tcPr>
            <w:tcW w:w="43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80" w:lineRule="exact"/>
              <w:jc w:val="center"/>
              <w:rPr>
                <w:color w:val="auto"/>
                <w:sz w:val="20"/>
                <w:szCs w:val="20"/>
              </w:rPr>
            </w:pPr>
          </w:p>
        </w:tc>
        <w:tc>
          <w:tcPr>
            <w:tcW w:w="4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280" w:lineRule="exact"/>
              <w:rPr>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核减另收费</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核减</w:t>
            </w:r>
            <w:r>
              <w:rPr>
                <w:color w:val="auto"/>
                <w:sz w:val="20"/>
                <w:szCs w:val="20"/>
              </w:rPr>
              <w:t>(增)额总额</w:t>
            </w:r>
          </w:p>
        </w:tc>
        <w:tc>
          <w:tcPr>
            <w:tcW w:w="6491" w:type="dxa"/>
            <w:gridSpan w:val="7"/>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6%</w:t>
            </w:r>
          </w:p>
        </w:tc>
      </w:tr>
      <w:tr>
        <w:tblPrEx>
          <w:tblCellMar>
            <w:top w:w="0" w:type="dxa"/>
            <w:left w:w="0" w:type="dxa"/>
            <w:bottom w:w="0" w:type="dxa"/>
            <w:right w:w="0" w:type="dxa"/>
          </w:tblCellMar>
        </w:tblPrEx>
        <w:trPr>
          <w:trHeight w:val="417" w:hRule="atLeast"/>
          <w:jc w:val="center"/>
        </w:trPr>
        <w:tc>
          <w:tcPr>
            <w:tcW w:w="43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13</w:t>
            </w:r>
          </w:p>
        </w:tc>
        <w:tc>
          <w:tcPr>
            <w:tcW w:w="135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钢筋及预埋件计算</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基本工作</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80" w:lineRule="exact"/>
              <w:textAlignment w:val="center"/>
              <w:rPr>
                <w:color w:val="auto"/>
                <w:sz w:val="20"/>
                <w:szCs w:val="20"/>
              </w:rPr>
            </w:pPr>
            <w:r>
              <w:rPr>
                <w:rFonts w:hint="eastAsia"/>
                <w:color w:val="auto"/>
                <w:sz w:val="20"/>
                <w:szCs w:val="20"/>
              </w:rPr>
              <w:t>适用于单独委托计算钢筋及预埋件。</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实际吨数</w:t>
            </w:r>
          </w:p>
        </w:tc>
        <w:tc>
          <w:tcPr>
            <w:tcW w:w="649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6元 / 吨</w:t>
            </w:r>
          </w:p>
        </w:tc>
      </w:tr>
      <w:tr>
        <w:tblPrEx>
          <w:tblCellMar>
            <w:top w:w="0" w:type="dxa"/>
            <w:left w:w="0" w:type="dxa"/>
            <w:bottom w:w="0" w:type="dxa"/>
            <w:right w:w="0" w:type="dxa"/>
          </w:tblCellMar>
        </w:tblPrEx>
        <w:trPr>
          <w:trHeight w:val="389" w:hRule="atLeast"/>
          <w:jc w:val="center"/>
        </w:trPr>
        <w:tc>
          <w:tcPr>
            <w:tcW w:w="436"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ascii="Arial" w:hAnsi="Arial" w:cs="Arial"/>
                <w:color w:val="auto"/>
                <w:sz w:val="20"/>
                <w:szCs w:val="20"/>
              </w:rPr>
            </w:pPr>
            <w:r>
              <w:rPr>
                <w:rFonts w:ascii="Arial" w:hAnsi="Arial" w:cs="Arial"/>
                <w:color w:val="auto"/>
                <w:sz w:val="20"/>
                <w:szCs w:val="20"/>
              </w:rPr>
              <w:t>1</w:t>
            </w:r>
            <w:r>
              <w:rPr>
                <w:rFonts w:hint="eastAsia" w:ascii="Arial" w:hAnsi="Arial" w:cs="Arial"/>
                <w:color w:val="auto"/>
                <w:sz w:val="20"/>
                <w:szCs w:val="20"/>
                <w:lang w:val="en-US" w:eastAsia="zh-CN"/>
              </w:rPr>
              <w:t>4</w:t>
            </w:r>
          </w:p>
        </w:tc>
        <w:tc>
          <w:tcPr>
            <w:tcW w:w="13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hint="eastAsia"/>
                <w:color w:val="auto"/>
                <w:sz w:val="18"/>
                <w:szCs w:val="18"/>
              </w:rPr>
            </w:pPr>
            <w:r>
              <w:rPr>
                <w:rFonts w:hint="eastAsia"/>
                <w:color w:val="auto"/>
                <w:sz w:val="18"/>
                <w:szCs w:val="18"/>
              </w:rPr>
              <w:t>高级工程师、</w:t>
            </w:r>
          </w:p>
          <w:p>
            <w:pPr>
              <w:widowControl/>
              <w:adjustRightInd w:val="0"/>
              <w:snapToGrid w:val="0"/>
              <w:spacing w:line="280" w:lineRule="exact"/>
              <w:jc w:val="center"/>
              <w:textAlignment w:val="center"/>
              <w:rPr>
                <w:rFonts w:hint="eastAsia"/>
                <w:color w:val="auto"/>
                <w:sz w:val="18"/>
                <w:szCs w:val="18"/>
              </w:rPr>
            </w:pPr>
            <w:r>
              <w:rPr>
                <w:rFonts w:hint="eastAsia"/>
                <w:color w:val="auto"/>
                <w:sz w:val="18"/>
                <w:szCs w:val="18"/>
              </w:rPr>
              <w:t>一级注册造价</w:t>
            </w:r>
          </w:p>
          <w:p>
            <w:pPr>
              <w:widowControl/>
              <w:adjustRightInd w:val="0"/>
              <w:snapToGrid w:val="0"/>
              <w:spacing w:line="280" w:lineRule="exact"/>
              <w:jc w:val="center"/>
              <w:textAlignment w:val="center"/>
              <w:rPr>
                <w:color w:val="auto"/>
                <w:sz w:val="18"/>
                <w:szCs w:val="18"/>
              </w:rPr>
            </w:pPr>
            <w:r>
              <w:rPr>
                <w:rFonts w:hint="eastAsia"/>
                <w:color w:val="auto"/>
                <w:sz w:val="18"/>
                <w:szCs w:val="18"/>
              </w:rPr>
              <w:t>工程师</w:t>
            </w:r>
          </w:p>
        </w:tc>
        <w:tc>
          <w:tcPr>
            <w:tcW w:w="4634" w:type="dxa"/>
            <w:gridSpan w:val="2"/>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textAlignment w:val="center"/>
              <w:rPr>
                <w:color w:val="auto"/>
                <w:sz w:val="20"/>
                <w:szCs w:val="20"/>
              </w:rPr>
            </w:pPr>
            <w:r>
              <w:rPr>
                <w:rFonts w:hint="eastAsia"/>
                <w:color w:val="auto"/>
                <w:sz w:val="20"/>
                <w:szCs w:val="20"/>
              </w:rPr>
              <w:t>计日收费，适用于按人员出勤形式委托的零星造价咨询服务。</w:t>
            </w:r>
          </w:p>
          <w:p>
            <w:pPr>
              <w:adjustRightInd w:val="0"/>
              <w:snapToGrid w:val="0"/>
              <w:spacing w:line="280" w:lineRule="exact"/>
              <w:rPr>
                <w:color w:val="auto"/>
                <w:sz w:val="20"/>
                <w:szCs w:val="20"/>
              </w:rPr>
            </w:pPr>
          </w:p>
        </w:tc>
        <w:tc>
          <w:tcPr>
            <w:tcW w:w="567"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Fonts w:hint="eastAsia"/>
                <w:color w:val="auto"/>
                <w:sz w:val="20"/>
                <w:szCs w:val="20"/>
              </w:rPr>
              <w:t>建设工程</w:t>
            </w:r>
          </w:p>
        </w:tc>
        <w:tc>
          <w:tcPr>
            <w:tcW w:w="567"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adjustRightInd w:val="0"/>
              <w:snapToGrid w:val="0"/>
              <w:spacing w:line="280" w:lineRule="exact"/>
              <w:jc w:val="center"/>
              <w:textAlignment w:val="center"/>
              <w:rPr>
                <w:color w:val="auto"/>
                <w:sz w:val="20"/>
                <w:szCs w:val="20"/>
              </w:rPr>
            </w:pPr>
            <w:r>
              <w:rPr>
                <w:rStyle w:val="9"/>
                <w:rFonts w:hint="default"/>
                <w:color w:val="auto"/>
              </w:rPr>
              <w:t>元</w:t>
            </w:r>
            <w:r>
              <w:rPr>
                <w:rStyle w:val="10"/>
                <w:color w:val="auto"/>
              </w:rPr>
              <w:t>/</w:t>
            </w:r>
            <w:r>
              <w:rPr>
                <w:rStyle w:val="10"/>
                <w:rFonts w:hint="eastAsia"/>
                <w:color w:val="auto"/>
              </w:rPr>
              <w:t>工</w:t>
            </w:r>
            <w:r>
              <w:rPr>
                <w:rStyle w:val="9"/>
                <w:rFonts w:hint="default"/>
                <w:color w:val="auto"/>
              </w:rPr>
              <w:t>日</w:t>
            </w:r>
          </w:p>
        </w:tc>
        <w:tc>
          <w:tcPr>
            <w:tcW w:w="649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2000</w:t>
            </w:r>
          </w:p>
        </w:tc>
      </w:tr>
      <w:tr>
        <w:tblPrEx>
          <w:tblCellMar>
            <w:top w:w="0" w:type="dxa"/>
            <w:left w:w="0" w:type="dxa"/>
            <w:bottom w:w="0" w:type="dxa"/>
            <w:right w:w="0" w:type="dxa"/>
          </w:tblCellMar>
        </w:tblPrEx>
        <w:trPr>
          <w:trHeight w:val="361" w:hRule="atLeast"/>
          <w:jc w:val="center"/>
        </w:trPr>
        <w:tc>
          <w:tcPr>
            <w:tcW w:w="436"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color w:val="auto"/>
                <w:sz w:val="18"/>
                <w:szCs w:val="18"/>
              </w:rPr>
            </w:pPr>
            <w:r>
              <w:rPr>
                <w:rFonts w:hint="eastAsia"/>
                <w:color w:val="auto"/>
                <w:sz w:val="18"/>
                <w:szCs w:val="18"/>
              </w:rPr>
              <w:t>工程师、二级注册造价工程师</w:t>
            </w:r>
          </w:p>
        </w:tc>
        <w:tc>
          <w:tcPr>
            <w:tcW w:w="4634" w:type="dxa"/>
            <w:gridSpan w:val="2"/>
            <w:vMerge w:val="continue"/>
            <w:tcBorders>
              <w:left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rPr>
                <w:color w:val="auto"/>
                <w:sz w:val="20"/>
                <w:szCs w:val="20"/>
              </w:rPr>
            </w:pPr>
          </w:p>
        </w:tc>
        <w:tc>
          <w:tcPr>
            <w:tcW w:w="56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p>
        </w:tc>
        <w:tc>
          <w:tcPr>
            <w:tcW w:w="567"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p>
        </w:tc>
        <w:tc>
          <w:tcPr>
            <w:tcW w:w="649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1500</w:t>
            </w:r>
          </w:p>
        </w:tc>
      </w:tr>
      <w:tr>
        <w:tblPrEx>
          <w:tblCellMar>
            <w:top w:w="0" w:type="dxa"/>
            <w:left w:w="0" w:type="dxa"/>
            <w:bottom w:w="0" w:type="dxa"/>
            <w:right w:w="0" w:type="dxa"/>
          </w:tblCellMar>
        </w:tblPrEx>
        <w:trPr>
          <w:trHeight w:val="361" w:hRule="atLeast"/>
          <w:jc w:val="center"/>
        </w:trPr>
        <w:tc>
          <w:tcPr>
            <w:tcW w:w="436"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jc w:val="center"/>
              <w:rPr>
                <w:rFonts w:ascii="Arial" w:hAnsi="Arial" w:cs="Arial"/>
                <w:color w:val="auto"/>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adjustRightInd w:val="0"/>
              <w:snapToGrid w:val="0"/>
              <w:spacing w:line="280" w:lineRule="exact"/>
              <w:jc w:val="center"/>
              <w:textAlignment w:val="center"/>
              <w:rPr>
                <w:rFonts w:hint="eastAsia"/>
                <w:color w:val="auto"/>
                <w:sz w:val="18"/>
                <w:szCs w:val="18"/>
              </w:rPr>
            </w:pPr>
            <w:r>
              <w:rPr>
                <w:rFonts w:hint="eastAsia"/>
                <w:color w:val="auto"/>
                <w:sz w:val="18"/>
                <w:szCs w:val="18"/>
              </w:rPr>
              <w:t>其他造价专业</w:t>
            </w:r>
          </w:p>
          <w:p>
            <w:pPr>
              <w:widowControl/>
              <w:adjustRightInd w:val="0"/>
              <w:snapToGrid w:val="0"/>
              <w:spacing w:line="280" w:lineRule="exact"/>
              <w:jc w:val="center"/>
              <w:textAlignment w:val="center"/>
              <w:rPr>
                <w:color w:val="auto"/>
                <w:sz w:val="18"/>
                <w:szCs w:val="18"/>
              </w:rPr>
            </w:pPr>
            <w:r>
              <w:rPr>
                <w:rFonts w:hint="eastAsia"/>
                <w:color w:val="auto"/>
                <w:sz w:val="18"/>
                <w:szCs w:val="18"/>
              </w:rPr>
              <w:t>人员</w:t>
            </w:r>
          </w:p>
        </w:tc>
        <w:tc>
          <w:tcPr>
            <w:tcW w:w="4634" w:type="dxa"/>
            <w:gridSpan w:val="2"/>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adjustRightInd w:val="0"/>
              <w:snapToGrid w:val="0"/>
              <w:spacing w:line="280" w:lineRule="exact"/>
              <w:rPr>
                <w:color w:val="auto"/>
                <w:sz w:val="20"/>
                <w:szCs w:val="20"/>
              </w:rPr>
            </w:pPr>
          </w:p>
        </w:tc>
        <w:tc>
          <w:tcPr>
            <w:tcW w:w="567"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p>
        </w:tc>
        <w:tc>
          <w:tcPr>
            <w:tcW w:w="567"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adjustRightInd w:val="0"/>
              <w:snapToGrid w:val="0"/>
              <w:spacing w:line="280" w:lineRule="exact"/>
              <w:jc w:val="center"/>
              <w:rPr>
                <w:color w:val="auto"/>
                <w:sz w:val="20"/>
                <w:szCs w:val="20"/>
              </w:rPr>
            </w:pPr>
          </w:p>
        </w:tc>
        <w:tc>
          <w:tcPr>
            <w:tcW w:w="6491" w:type="dxa"/>
            <w:gridSpan w:val="7"/>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280" w:lineRule="exact"/>
              <w:jc w:val="center"/>
              <w:textAlignment w:val="center"/>
              <w:rPr>
                <w:color w:val="auto"/>
                <w:szCs w:val="21"/>
              </w:rPr>
            </w:pPr>
            <w:r>
              <w:rPr>
                <w:color w:val="auto"/>
                <w:szCs w:val="21"/>
              </w:rPr>
              <w:t>800</w:t>
            </w:r>
          </w:p>
        </w:tc>
      </w:tr>
      <w:tr>
        <w:tblPrEx>
          <w:tblCellMar>
            <w:top w:w="0" w:type="dxa"/>
            <w:left w:w="0" w:type="dxa"/>
            <w:bottom w:w="0" w:type="dxa"/>
            <w:right w:w="0" w:type="dxa"/>
          </w:tblCellMar>
        </w:tblPrEx>
        <w:trPr>
          <w:trHeight w:val="361" w:hRule="atLeast"/>
          <w:jc w:val="center"/>
        </w:trPr>
        <w:tc>
          <w:tcPr>
            <w:tcW w:w="14051" w:type="dxa"/>
            <w:gridSpan w:val="1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adjustRightInd w:val="0"/>
              <w:snapToGrid w:val="0"/>
              <w:spacing w:line="312" w:lineRule="auto"/>
              <w:textAlignment w:val="center"/>
              <w:rPr>
                <w:rFonts w:hint="eastAsia" w:eastAsia="宋体"/>
                <w:color w:val="auto"/>
                <w:sz w:val="20"/>
                <w:szCs w:val="20"/>
                <w:lang w:eastAsia="zh-CN"/>
              </w:rPr>
            </w:pPr>
            <w:r>
              <w:rPr>
                <w:rFonts w:hint="eastAsia"/>
                <w:b/>
                <w:bCs/>
                <w:color w:val="auto"/>
                <w:sz w:val="20"/>
                <w:szCs w:val="20"/>
              </w:rPr>
              <w:t>说明：</w:t>
            </w:r>
            <w:r>
              <w:rPr>
                <w:rFonts w:hint="eastAsia"/>
                <w:color w:val="auto"/>
                <w:sz w:val="20"/>
                <w:szCs w:val="20"/>
              </w:rPr>
              <w:t xml:space="preserve">                                                                                                                                                                                                                                                            </w:t>
            </w:r>
          </w:p>
          <w:p>
            <w:pPr>
              <w:widowControl/>
              <w:adjustRightInd w:val="0"/>
              <w:snapToGrid w:val="0"/>
              <w:spacing w:line="312" w:lineRule="auto"/>
              <w:textAlignment w:val="center"/>
              <w:rPr>
                <w:color w:val="auto"/>
                <w:sz w:val="20"/>
                <w:szCs w:val="20"/>
              </w:rPr>
            </w:pPr>
            <w:r>
              <w:rPr>
                <w:rFonts w:hint="eastAsia"/>
                <w:color w:val="auto"/>
                <w:sz w:val="20"/>
                <w:szCs w:val="20"/>
              </w:rPr>
              <w:t>1.本《成本参考价》实行“谁委托谁付费”原则，委托合同另有约定的按合同要求。</w:t>
            </w:r>
          </w:p>
          <w:p>
            <w:pPr>
              <w:widowControl/>
              <w:adjustRightInd w:val="0"/>
              <w:snapToGrid w:val="0"/>
              <w:spacing w:line="312" w:lineRule="auto"/>
              <w:textAlignment w:val="center"/>
              <w:rPr>
                <w:rFonts w:hint="eastAsia" w:eastAsia="宋体"/>
                <w:color w:val="auto"/>
                <w:sz w:val="20"/>
                <w:szCs w:val="20"/>
                <w:lang w:eastAsia="zh-CN"/>
              </w:rPr>
            </w:pPr>
            <w:r>
              <w:rPr>
                <w:rFonts w:hint="eastAsia"/>
                <w:color w:val="auto"/>
                <w:sz w:val="20"/>
                <w:szCs w:val="20"/>
              </w:rPr>
              <w:t>2.单项造价咨询服务费用不足3000元，按3000元收取（以出具的单个报告为准）；工程造价鉴定服务费用不足</w:t>
            </w:r>
            <w:r>
              <w:rPr>
                <w:color w:val="auto"/>
                <w:sz w:val="20"/>
                <w:szCs w:val="20"/>
              </w:rPr>
              <w:t>5</w:t>
            </w:r>
            <w:r>
              <w:rPr>
                <w:rFonts w:hint="eastAsia"/>
                <w:color w:val="auto"/>
                <w:sz w:val="20"/>
                <w:szCs w:val="20"/>
              </w:rPr>
              <w:t>000元，按</w:t>
            </w:r>
            <w:r>
              <w:rPr>
                <w:color w:val="auto"/>
                <w:sz w:val="20"/>
                <w:szCs w:val="20"/>
              </w:rPr>
              <w:t>5</w:t>
            </w:r>
            <w:r>
              <w:rPr>
                <w:rFonts w:hint="eastAsia"/>
                <w:color w:val="auto"/>
                <w:sz w:val="20"/>
                <w:szCs w:val="20"/>
              </w:rPr>
              <w:t>000元收取（以出具的单个报告为准）</w:t>
            </w:r>
            <w:r>
              <w:rPr>
                <w:color w:val="auto"/>
                <w:sz w:val="20"/>
                <w:szCs w:val="20"/>
              </w:rPr>
              <w:t xml:space="preserve">；增选工作在基本工作收费的基础上结合实际情况可增加适当比例。 </w:t>
            </w:r>
            <w:r>
              <w:rPr>
                <w:rFonts w:hint="eastAsia"/>
                <w:color w:val="auto"/>
                <w:sz w:val="20"/>
                <w:szCs w:val="20"/>
              </w:rPr>
              <w:t xml:space="preserve">                                                                                                                                                                     </w:t>
            </w:r>
          </w:p>
          <w:p>
            <w:pPr>
              <w:widowControl/>
              <w:adjustRightInd w:val="0"/>
              <w:snapToGrid w:val="0"/>
              <w:spacing w:line="312" w:lineRule="auto"/>
              <w:textAlignment w:val="center"/>
              <w:rPr>
                <w:rFonts w:hint="eastAsia" w:eastAsia="宋体"/>
                <w:color w:val="auto"/>
                <w:sz w:val="20"/>
                <w:szCs w:val="20"/>
                <w:lang w:eastAsia="zh-CN"/>
              </w:rPr>
            </w:pPr>
            <w:r>
              <w:rPr>
                <w:rFonts w:hint="eastAsia"/>
                <w:color w:val="auto"/>
                <w:sz w:val="20"/>
                <w:szCs w:val="20"/>
              </w:rPr>
              <w:t>3.本《成本参考价》采用差额累进递减收费，适用于房屋建筑和市政建设工程；精装修、仿古建筑、水利工程、交通工程等结合附表1可参照执行，主管部门另有规定的，从其规定。核减额与核增额不冲抵消，核减收费与核增收费以核减额或核增额绝对值相加进行计费。</w:t>
            </w:r>
          </w:p>
          <w:p>
            <w:pPr>
              <w:widowControl/>
              <w:adjustRightInd w:val="0"/>
              <w:snapToGrid w:val="0"/>
              <w:spacing w:line="312" w:lineRule="auto"/>
              <w:textAlignment w:val="center"/>
              <w:rPr>
                <w:rFonts w:hint="eastAsia" w:eastAsia="宋体"/>
                <w:color w:val="auto"/>
                <w:sz w:val="20"/>
                <w:szCs w:val="20"/>
                <w:lang w:eastAsia="zh-CN"/>
              </w:rPr>
            </w:pPr>
            <w:r>
              <w:rPr>
                <w:color w:val="auto"/>
                <w:sz w:val="20"/>
                <w:szCs w:val="20"/>
              </w:rPr>
              <w:t>4</w:t>
            </w:r>
            <w:r>
              <w:rPr>
                <w:rFonts w:hint="eastAsia"/>
                <w:color w:val="auto"/>
                <w:sz w:val="20"/>
                <w:szCs w:val="20"/>
              </w:rPr>
              <w:t>.清单漏项、工程量计算错误，小数点错误或合价计算错误等可计入核减（增）额。</w:t>
            </w:r>
          </w:p>
          <w:p>
            <w:pPr>
              <w:widowControl/>
              <w:adjustRightInd w:val="0"/>
              <w:snapToGrid w:val="0"/>
              <w:spacing w:line="312" w:lineRule="auto"/>
              <w:textAlignment w:val="center"/>
              <w:rPr>
                <w:color w:val="auto"/>
                <w:sz w:val="20"/>
                <w:szCs w:val="20"/>
              </w:rPr>
            </w:pPr>
            <w:r>
              <w:rPr>
                <w:color w:val="auto"/>
                <w:sz w:val="20"/>
                <w:szCs w:val="20"/>
              </w:rPr>
              <w:t>5</w:t>
            </w:r>
            <w:r>
              <w:rPr>
                <w:rFonts w:hint="eastAsia"/>
                <w:color w:val="auto"/>
                <w:sz w:val="20"/>
                <w:szCs w:val="20"/>
              </w:rPr>
              <w:t>.E</w:t>
            </w:r>
            <w:r>
              <w:rPr>
                <w:color w:val="auto"/>
                <w:sz w:val="20"/>
                <w:szCs w:val="20"/>
              </w:rPr>
              <w:t>PC</w:t>
            </w:r>
            <w:r>
              <w:rPr>
                <w:rFonts w:hint="eastAsia"/>
                <w:color w:val="auto"/>
                <w:sz w:val="20"/>
                <w:szCs w:val="20"/>
              </w:rPr>
              <w:t>、</w:t>
            </w:r>
            <w:r>
              <w:rPr>
                <w:color w:val="auto"/>
                <w:sz w:val="20"/>
                <w:szCs w:val="20"/>
              </w:rPr>
              <w:t>PPP</w:t>
            </w:r>
            <w:r>
              <w:rPr>
                <w:rFonts w:hint="eastAsia"/>
                <w:color w:val="auto"/>
                <w:sz w:val="20"/>
                <w:szCs w:val="20"/>
              </w:rPr>
              <w:t>项目分项咨询服务收费可参照建设工程各阶段对应服务内容收费标准累加执行，项目若为全过程咨询服务，收费应结合项目实际情况，参照全过程造价咨询执行。</w:t>
            </w:r>
          </w:p>
          <w:p>
            <w:pPr>
              <w:widowControl/>
              <w:adjustRightInd w:val="0"/>
              <w:snapToGrid w:val="0"/>
              <w:spacing w:line="312" w:lineRule="auto"/>
              <w:textAlignment w:val="center"/>
              <w:rPr>
                <w:color w:val="auto"/>
                <w:sz w:val="20"/>
                <w:szCs w:val="20"/>
              </w:rPr>
            </w:pPr>
            <w:r>
              <w:rPr>
                <w:color w:val="auto"/>
                <w:sz w:val="20"/>
                <w:szCs w:val="20"/>
              </w:rPr>
              <w:t>6</w:t>
            </w:r>
            <w:r>
              <w:rPr>
                <w:rFonts w:hint="eastAsia"/>
                <w:color w:val="auto"/>
                <w:sz w:val="20"/>
                <w:szCs w:val="20"/>
              </w:rPr>
              <w:t>.工程主材、设备无论是否计入控制价、结算价等，均应计入取费基数。合同包干价的签证变更项目，包干价部分应计入取费基数。</w:t>
            </w:r>
          </w:p>
          <w:p>
            <w:pPr>
              <w:adjustRightInd w:val="0"/>
              <w:snapToGrid w:val="0"/>
              <w:spacing w:line="312" w:lineRule="auto"/>
              <w:rPr>
                <w:color w:val="auto"/>
                <w:sz w:val="20"/>
                <w:szCs w:val="20"/>
              </w:rPr>
            </w:pPr>
            <w:r>
              <w:rPr>
                <w:color w:val="auto"/>
                <w:sz w:val="20"/>
                <w:szCs w:val="20"/>
              </w:rPr>
              <w:t>7</w:t>
            </w:r>
            <w:r>
              <w:rPr>
                <w:rFonts w:hint="eastAsia"/>
                <w:color w:val="auto"/>
                <w:sz w:val="20"/>
                <w:szCs w:val="20"/>
              </w:rPr>
              <w:t>.编制或审核工程量清单及招标控制价、施工图工程预算时，因委托人引起的设计变更或其他原因导致受托人工作量增加的（包括多次补充送审、重新送审），根据实际情况可多次增加相应费用或者按照标准重复计取费用。编制或审核招标控制价时，仅编制或审核工程量清单的，按收费标准的</w:t>
            </w:r>
            <w:r>
              <w:rPr>
                <w:color w:val="auto"/>
                <w:sz w:val="20"/>
                <w:szCs w:val="20"/>
              </w:rPr>
              <w:t>60%计算；仅编制或审核单价（造价）的，按收费标准的50%计算。</w:t>
            </w:r>
          </w:p>
          <w:p>
            <w:pPr>
              <w:adjustRightInd w:val="0"/>
              <w:snapToGrid w:val="0"/>
              <w:spacing w:line="312" w:lineRule="auto"/>
              <w:rPr>
                <w:color w:val="auto"/>
                <w:sz w:val="20"/>
                <w:szCs w:val="20"/>
              </w:rPr>
            </w:pPr>
            <w:r>
              <w:rPr>
                <w:color w:val="auto"/>
                <w:sz w:val="20"/>
                <w:szCs w:val="20"/>
              </w:rPr>
              <w:t>8</w:t>
            </w:r>
            <w:r>
              <w:rPr>
                <w:rFonts w:hint="eastAsia"/>
                <w:color w:val="auto"/>
                <w:sz w:val="20"/>
                <w:szCs w:val="20"/>
              </w:rPr>
              <w:t>.编制或审核施工图工程预算时，发生复核情形的，按照编制或审核招标控制价的费用计算。</w:t>
            </w:r>
          </w:p>
          <w:p>
            <w:pPr>
              <w:adjustRightInd w:val="0"/>
              <w:snapToGrid w:val="0"/>
              <w:spacing w:line="312" w:lineRule="auto"/>
              <w:rPr>
                <w:color w:val="auto"/>
                <w:sz w:val="20"/>
                <w:szCs w:val="20"/>
              </w:rPr>
            </w:pPr>
            <w:r>
              <w:rPr>
                <w:color w:val="auto"/>
                <w:sz w:val="20"/>
                <w:szCs w:val="20"/>
              </w:rPr>
              <w:t>9.</w:t>
            </w:r>
            <w:r>
              <w:rPr>
                <w:rFonts w:hint="eastAsia"/>
                <w:color w:val="auto"/>
                <w:sz w:val="20"/>
                <w:szCs w:val="20"/>
              </w:rPr>
              <w:t>工程结算编制或审核时，因施工单位或委托人引起的设计变更或其他原因导致受托人工作量增加的（包括多次补充送审、重新送审、多次复审核对），根据实际情况可多次增加相应费用或者按照标准重复计取费用。</w:t>
            </w:r>
          </w:p>
          <w:p>
            <w:pPr>
              <w:widowControl/>
              <w:adjustRightInd w:val="0"/>
              <w:snapToGrid w:val="0"/>
              <w:spacing w:line="312" w:lineRule="auto"/>
              <w:textAlignment w:val="center"/>
              <w:rPr>
                <w:rFonts w:hint="eastAsia" w:eastAsia="宋体"/>
                <w:color w:val="auto"/>
                <w:sz w:val="20"/>
                <w:szCs w:val="20"/>
                <w:lang w:eastAsia="zh-CN"/>
              </w:rPr>
            </w:pPr>
            <w:r>
              <w:rPr>
                <w:rFonts w:hint="eastAsia"/>
                <w:color w:val="auto"/>
                <w:sz w:val="20"/>
                <w:szCs w:val="20"/>
              </w:rPr>
              <w:t>1</w:t>
            </w:r>
            <w:r>
              <w:rPr>
                <w:color w:val="auto"/>
                <w:sz w:val="20"/>
                <w:szCs w:val="20"/>
              </w:rPr>
              <w:t>0</w:t>
            </w:r>
            <w:r>
              <w:rPr>
                <w:rFonts w:hint="eastAsia"/>
                <w:color w:val="auto"/>
                <w:sz w:val="20"/>
                <w:szCs w:val="20"/>
              </w:rPr>
              <w:t>.全过程造价咨询、施工阶段全过程造价控制，不包含方案优化、各类招标代理、驻场人员费用，发生时另行计算。</w:t>
            </w:r>
          </w:p>
          <w:p>
            <w:pPr>
              <w:widowControl/>
              <w:adjustRightInd w:val="0"/>
              <w:snapToGrid w:val="0"/>
              <w:spacing w:line="312" w:lineRule="auto"/>
              <w:textAlignment w:val="center"/>
              <w:rPr>
                <w:color w:val="auto"/>
                <w:sz w:val="20"/>
                <w:szCs w:val="20"/>
              </w:rPr>
            </w:pPr>
            <w:r>
              <w:rPr>
                <w:rFonts w:hint="eastAsia"/>
                <w:color w:val="auto"/>
                <w:sz w:val="20"/>
                <w:szCs w:val="20"/>
              </w:rPr>
              <w:t>1</w:t>
            </w:r>
            <w:r>
              <w:rPr>
                <w:color w:val="auto"/>
                <w:sz w:val="20"/>
                <w:szCs w:val="20"/>
              </w:rPr>
              <w:t>1</w:t>
            </w:r>
            <w:r>
              <w:rPr>
                <w:rFonts w:hint="eastAsia"/>
                <w:color w:val="auto"/>
                <w:sz w:val="20"/>
                <w:szCs w:val="20"/>
              </w:rPr>
              <w:t>.全过程造价咨询服务驻场人员根据工程项目情况及委托人要求确定，若需人员驻场工作，相应增加补贴</w:t>
            </w:r>
            <w:r>
              <w:rPr>
                <w:color w:val="auto"/>
                <w:sz w:val="20"/>
                <w:szCs w:val="20"/>
              </w:rPr>
              <w:t>1</w:t>
            </w:r>
            <w:r>
              <w:rPr>
                <w:rFonts w:hint="eastAsia"/>
                <w:color w:val="auto"/>
                <w:sz w:val="20"/>
                <w:szCs w:val="20"/>
              </w:rPr>
              <w:t>0000-</w:t>
            </w:r>
            <w:r>
              <w:rPr>
                <w:color w:val="auto"/>
                <w:sz w:val="20"/>
                <w:szCs w:val="20"/>
              </w:rPr>
              <w:t>3</w:t>
            </w:r>
            <w:r>
              <w:rPr>
                <w:rFonts w:hint="eastAsia"/>
                <w:color w:val="auto"/>
                <w:sz w:val="20"/>
                <w:szCs w:val="20"/>
              </w:rPr>
              <w:t>0000元/人月（具体金额根据驻场人员的综合工作能力决定，包括资格证书等级、职称等级、实操水平等，其中高级工程师、一级注册造价工程师补贴2</w:t>
            </w:r>
            <w:r>
              <w:rPr>
                <w:color w:val="auto"/>
                <w:sz w:val="20"/>
                <w:szCs w:val="20"/>
              </w:rPr>
              <w:t>0000-30000元/人月</w:t>
            </w:r>
            <w:r>
              <w:rPr>
                <w:rFonts w:hint="eastAsia"/>
                <w:color w:val="auto"/>
                <w:sz w:val="20"/>
                <w:szCs w:val="20"/>
              </w:rPr>
              <w:t>，工程师、二级注册造价工程师补贴1</w:t>
            </w:r>
            <w:r>
              <w:rPr>
                <w:color w:val="auto"/>
                <w:sz w:val="20"/>
                <w:szCs w:val="20"/>
              </w:rPr>
              <w:t>0000-</w:t>
            </w:r>
            <w:r>
              <w:rPr>
                <w:rFonts w:hint="eastAsia"/>
                <w:color w:val="auto"/>
                <w:sz w:val="20"/>
                <w:szCs w:val="20"/>
              </w:rPr>
              <w:t>2</w:t>
            </w:r>
            <w:r>
              <w:rPr>
                <w:color w:val="auto"/>
                <w:sz w:val="20"/>
                <w:szCs w:val="20"/>
              </w:rPr>
              <w:t>0000元/人月</w:t>
            </w:r>
            <w:r>
              <w:rPr>
                <w:rFonts w:hint="eastAsia"/>
                <w:color w:val="auto"/>
                <w:sz w:val="20"/>
                <w:szCs w:val="20"/>
              </w:rPr>
              <w:t>，其他造价专业人员补贴6</w:t>
            </w:r>
            <w:r>
              <w:rPr>
                <w:color w:val="auto"/>
                <w:sz w:val="20"/>
                <w:szCs w:val="20"/>
              </w:rPr>
              <w:t>000</w:t>
            </w:r>
            <w:r>
              <w:rPr>
                <w:rFonts w:hint="eastAsia"/>
                <w:color w:val="auto"/>
                <w:sz w:val="20"/>
                <w:szCs w:val="20"/>
              </w:rPr>
              <w:t>-</w:t>
            </w:r>
            <w:r>
              <w:rPr>
                <w:color w:val="auto"/>
                <w:sz w:val="20"/>
                <w:szCs w:val="20"/>
              </w:rPr>
              <w:t>10000元/人月</w:t>
            </w:r>
            <w:r>
              <w:rPr>
                <w:rFonts w:hint="eastAsia"/>
                <w:color w:val="auto"/>
                <w:sz w:val="20"/>
                <w:szCs w:val="20"/>
              </w:rPr>
              <w:t>），异地差旅费另行约定。</w:t>
            </w:r>
          </w:p>
          <w:p>
            <w:pPr>
              <w:widowControl/>
              <w:adjustRightInd w:val="0"/>
              <w:snapToGrid w:val="0"/>
              <w:spacing w:line="312" w:lineRule="auto"/>
              <w:textAlignment w:val="center"/>
              <w:rPr>
                <w:rFonts w:hint="eastAsia" w:eastAsia="宋体"/>
                <w:color w:val="auto"/>
                <w:sz w:val="20"/>
                <w:szCs w:val="20"/>
                <w:lang w:eastAsia="zh-CN"/>
              </w:rPr>
            </w:pPr>
            <w:r>
              <w:rPr>
                <w:color w:val="auto"/>
                <w:sz w:val="20"/>
                <w:szCs w:val="20"/>
              </w:rPr>
              <w:t>12.</w:t>
            </w:r>
            <w:r>
              <w:rPr>
                <w:rFonts w:hint="eastAsia"/>
                <w:color w:val="auto"/>
                <w:sz w:val="20"/>
                <w:szCs w:val="20"/>
              </w:rPr>
              <w:t>材料（设备）询价赴异地实地询价，其发生的差旅费由委托单位承担。</w:t>
            </w:r>
          </w:p>
          <w:p>
            <w:pPr>
              <w:widowControl/>
              <w:adjustRightInd w:val="0"/>
              <w:snapToGrid w:val="0"/>
              <w:spacing w:line="312" w:lineRule="auto"/>
              <w:textAlignment w:val="center"/>
              <w:rPr>
                <w:color w:val="auto"/>
                <w:sz w:val="20"/>
                <w:szCs w:val="20"/>
              </w:rPr>
            </w:pPr>
            <w:r>
              <w:rPr>
                <w:rFonts w:hint="eastAsia"/>
                <w:color w:val="auto"/>
                <w:sz w:val="20"/>
                <w:szCs w:val="20"/>
              </w:rPr>
              <w:t>1</w:t>
            </w:r>
            <w:r>
              <w:rPr>
                <w:color w:val="auto"/>
                <w:sz w:val="20"/>
                <w:szCs w:val="20"/>
              </w:rPr>
              <w:t>3</w:t>
            </w:r>
            <w:r>
              <w:rPr>
                <w:rFonts w:hint="eastAsia"/>
                <w:color w:val="auto"/>
                <w:sz w:val="20"/>
                <w:szCs w:val="20"/>
              </w:rPr>
              <w:t xml:space="preserve">.关于室外附属工程（如景观园林、室外给排水、室外道路等）单独安装项目等结算审核费用可根据项目的具体情况相应提高收费标准，参照附表1执行。 </w:t>
            </w:r>
          </w:p>
          <w:p>
            <w:pPr>
              <w:widowControl/>
              <w:adjustRightInd w:val="0"/>
              <w:snapToGrid w:val="0"/>
              <w:spacing w:line="312" w:lineRule="auto"/>
              <w:textAlignment w:val="center"/>
              <w:rPr>
                <w:color w:val="auto"/>
                <w:sz w:val="20"/>
                <w:szCs w:val="20"/>
              </w:rPr>
            </w:pPr>
            <w:r>
              <w:rPr>
                <w:rFonts w:hint="eastAsia"/>
                <w:color w:val="auto"/>
                <w:sz w:val="20"/>
                <w:szCs w:val="20"/>
              </w:rPr>
              <w:t>14.建设项目全过程造价咨询服务范围和内容划分参照附表2执行。全过程咨询项目因非受托人原因导致服务时间延长，结合咨询合同收费标准，按项目施工合同约定工期以延长时间折算延长咨询费用，驻场人员费用按月标准增加。</w:t>
            </w:r>
          </w:p>
          <w:p>
            <w:pPr>
              <w:widowControl/>
              <w:adjustRightInd w:val="0"/>
              <w:snapToGrid w:val="0"/>
              <w:spacing w:line="312" w:lineRule="auto"/>
              <w:textAlignment w:val="center"/>
              <w:rPr>
                <w:color w:val="auto"/>
                <w:sz w:val="20"/>
                <w:szCs w:val="20"/>
              </w:rPr>
            </w:pPr>
            <w:r>
              <w:rPr>
                <w:rFonts w:hint="eastAsia"/>
                <w:color w:val="auto"/>
                <w:sz w:val="20"/>
                <w:szCs w:val="20"/>
              </w:rPr>
              <w:t xml:space="preserve">15.零星造价咨询服务计日收费，特殊专业技术人员咨询服务收费可由双方协议商定。 </w:t>
            </w:r>
          </w:p>
          <w:p>
            <w:pPr>
              <w:widowControl/>
              <w:adjustRightInd w:val="0"/>
              <w:snapToGrid w:val="0"/>
              <w:spacing w:line="312" w:lineRule="auto"/>
              <w:textAlignment w:val="center"/>
              <w:rPr>
                <w:color w:val="auto"/>
              </w:rPr>
            </w:pPr>
            <w:r>
              <w:rPr>
                <w:rFonts w:hint="eastAsia"/>
                <w:color w:val="auto"/>
                <w:sz w:val="20"/>
                <w:szCs w:val="20"/>
              </w:rPr>
              <w:t>16.</w:t>
            </w:r>
            <w:r>
              <w:rPr>
                <w:color w:val="auto"/>
                <w:sz w:val="20"/>
                <w:szCs w:val="20"/>
              </w:rPr>
              <w:t>EPC项目施工方案优化</w:t>
            </w:r>
            <w:r>
              <w:rPr>
                <w:rFonts w:hint="eastAsia"/>
                <w:color w:val="auto"/>
                <w:sz w:val="20"/>
                <w:szCs w:val="20"/>
              </w:rPr>
              <w:t xml:space="preserve">，可参照设计方案优化收费计取费用。                                                               </w:t>
            </w:r>
          </w:p>
          <w:p>
            <w:pPr>
              <w:widowControl/>
              <w:adjustRightInd w:val="0"/>
              <w:snapToGrid w:val="0"/>
              <w:spacing w:line="312" w:lineRule="auto"/>
              <w:textAlignment w:val="center"/>
              <w:rPr>
                <w:color w:val="auto"/>
                <w:sz w:val="20"/>
                <w:szCs w:val="20"/>
              </w:rPr>
            </w:pPr>
            <w:r>
              <w:rPr>
                <w:rFonts w:hint="eastAsia"/>
                <w:color w:val="auto"/>
                <w:sz w:val="20"/>
                <w:szCs w:val="20"/>
              </w:rPr>
              <w:t>17.本《成本参考价》不含BIM 建模费用，发生时另行计算。</w:t>
            </w:r>
          </w:p>
          <w:p>
            <w:pPr>
              <w:widowControl/>
              <w:adjustRightInd w:val="0"/>
              <w:snapToGrid w:val="0"/>
              <w:spacing w:line="312" w:lineRule="auto"/>
              <w:textAlignment w:val="center"/>
              <w:rPr>
                <w:color w:val="auto"/>
                <w:sz w:val="20"/>
                <w:szCs w:val="20"/>
              </w:rPr>
            </w:pPr>
            <w:r>
              <w:rPr>
                <w:color w:val="auto"/>
                <w:sz w:val="20"/>
                <w:szCs w:val="20"/>
              </w:rPr>
              <w:t>18.建设工程造价咨询服务收费标准实行分档累进计费方式，如某</w:t>
            </w:r>
            <w:r>
              <w:rPr>
                <w:rFonts w:hint="eastAsia"/>
                <w:color w:val="auto"/>
                <w:sz w:val="20"/>
                <w:szCs w:val="20"/>
              </w:rPr>
              <w:t>单独发包装饰装修工程</w:t>
            </w:r>
            <w:r>
              <w:rPr>
                <w:color w:val="auto"/>
                <w:sz w:val="20"/>
                <w:szCs w:val="20"/>
              </w:rPr>
              <w:t>总投资5000万元的工程量清单及招标控制价的编制，计算收费额如下：</w:t>
            </w:r>
          </w:p>
          <w:p>
            <w:pPr>
              <w:widowControl/>
              <w:adjustRightInd w:val="0"/>
              <w:snapToGrid w:val="0"/>
              <w:spacing w:line="312" w:lineRule="auto"/>
              <w:ind w:firstLine="200" w:firstLineChars="100"/>
              <w:textAlignment w:val="center"/>
              <w:rPr>
                <w:color w:val="auto"/>
                <w:sz w:val="20"/>
                <w:szCs w:val="20"/>
              </w:rPr>
            </w:pPr>
            <w:r>
              <w:rPr>
                <w:color w:val="auto"/>
                <w:sz w:val="20"/>
                <w:szCs w:val="20"/>
              </w:rPr>
              <w:t>200万元×3.0‰＝0.60万元</w:t>
            </w:r>
          </w:p>
          <w:p>
            <w:pPr>
              <w:widowControl/>
              <w:adjustRightInd w:val="0"/>
              <w:snapToGrid w:val="0"/>
              <w:spacing w:line="312" w:lineRule="auto"/>
              <w:textAlignment w:val="center"/>
              <w:rPr>
                <w:color w:val="auto"/>
                <w:sz w:val="20"/>
                <w:szCs w:val="20"/>
              </w:rPr>
            </w:pPr>
            <w:r>
              <w:rPr>
                <w:rFonts w:hint="eastAsia"/>
                <w:color w:val="auto"/>
                <w:sz w:val="20"/>
                <w:szCs w:val="20"/>
              </w:rPr>
              <w:t>（</w:t>
            </w:r>
            <w:r>
              <w:rPr>
                <w:color w:val="auto"/>
                <w:sz w:val="20"/>
                <w:szCs w:val="20"/>
              </w:rPr>
              <w:t>500万元-200万元）×2.8‰＝0.84万元</w:t>
            </w:r>
          </w:p>
          <w:p>
            <w:pPr>
              <w:widowControl/>
              <w:adjustRightInd w:val="0"/>
              <w:snapToGrid w:val="0"/>
              <w:spacing w:line="312" w:lineRule="auto"/>
              <w:textAlignment w:val="center"/>
              <w:rPr>
                <w:color w:val="auto"/>
                <w:sz w:val="20"/>
                <w:szCs w:val="20"/>
              </w:rPr>
            </w:pPr>
            <w:r>
              <w:rPr>
                <w:rFonts w:hint="eastAsia"/>
                <w:color w:val="auto"/>
                <w:sz w:val="20"/>
                <w:szCs w:val="20"/>
              </w:rPr>
              <w:t>（</w:t>
            </w:r>
            <w:r>
              <w:rPr>
                <w:color w:val="auto"/>
                <w:sz w:val="20"/>
                <w:szCs w:val="20"/>
              </w:rPr>
              <w:t>1000万元－500万元）×2.6‰＝1.30万元</w:t>
            </w:r>
          </w:p>
          <w:p>
            <w:pPr>
              <w:widowControl/>
              <w:adjustRightInd w:val="0"/>
              <w:snapToGrid w:val="0"/>
              <w:spacing w:line="312" w:lineRule="auto"/>
              <w:textAlignment w:val="center"/>
              <w:rPr>
                <w:color w:val="auto"/>
                <w:sz w:val="20"/>
                <w:szCs w:val="20"/>
              </w:rPr>
            </w:pPr>
            <w:r>
              <w:rPr>
                <w:rFonts w:hint="eastAsia"/>
                <w:color w:val="auto"/>
                <w:sz w:val="20"/>
                <w:szCs w:val="20"/>
              </w:rPr>
              <w:t>（</w:t>
            </w:r>
            <w:r>
              <w:rPr>
                <w:color w:val="auto"/>
                <w:sz w:val="20"/>
                <w:szCs w:val="20"/>
              </w:rPr>
              <w:t>3000万元-1000万元）×2.4‰＝4.80万元</w:t>
            </w:r>
          </w:p>
          <w:p>
            <w:pPr>
              <w:widowControl/>
              <w:adjustRightInd w:val="0"/>
              <w:snapToGrid w:val="0"/>
              <w:spacing w:line="312" w:lineRule="auto"/>
              <w:textAlignment w:val="center"/>
              <w:rPr>
                <w:color w:val="auto"/>
                <w:sz w:val="20"/>
                <w:szCs w:val="20"/>
              </w:rPr>
            </w:pPr>
            <w:r>
              <w:rPr>
                <w:rFonts w:hint="eastAsia"/>
                <w:color w:val="auto"/>
                <w:sz w:val="20"/>
                <w:szCs w:val="20"/>
              </w:rPr>
              <w:t>（</w:t>
            </w:r>
            <w:r>
              <w:rPr>
                <w:color w:val="auto"/>
                <w:sz w:val="20"/>
                <w:szCs w:val="20"/>
              </w:rPr>
              <w:t>5000万元-3000万元）×2.2‰＝4.40万元</w:t>
            </w:r>
          </w:p>
          <w:p>
            <w:pPr>
              <w:widowControl/>
              <w:adjustRightInd w:val="0"/>
              <w:snapToGrid w:val="0"/>
              <w:spacing w:line="312" w:lineRule="auto"/>
              <w:textAlignment w:val="center"/>
              <w:rPr>
                <w:color w:val="auto"/>
                <w:sz w:val="20"/>
                <w:szCs w:val="20"/>
              </w:rPr>
            </w:pPr>
            <w:r>
              <w:rPr>
                <w:rFonts w:hint="eastAsia"/>
                <w:color w:val="auto"/>
                <w:sz w:val="20"/>
                <w:szCs w:val="20"/>
              </w:rPr>
              <w:t>应收咨询费合计＝</w:t>
            </w:r>
            <w:r>
              <w:rPr>
                <w:color w:val="auto"/>
                <w:sz w:val="20"/>
                <w:szCs w:val="20"/>
              </w:rPr>
              <w:t>(0.60万元＋0.84万元＋1.30万元</w:t>
            </w:r>
            <w:r>
              <w:rPr>
                <w:rFonts w:hint="eastAsia"/>
                <w:color w:val="auto"/>
                <w:sz w:val="20"/>
                <w:szCs w:val="20"/>
              </w:rPr>
              <w:t>＋</w:t>
            </w:r>
            <w:r>
              <w:rPr>
                <w:color w:val="auto"/>
                <w:sz w:val="20"/>
                <w:szCs w:val="20"/>
              </w:rPr>
              <w:t>4.80万元＋4.40万元)*1.3(专业调整系数）＝15.522万元</w:t>
            </w:r>
          </w:p>
          <w:p>
            <w:pPr>
              <w:widowControl/>
              <w:adjustRightInd w:val="0"/>
              <w:snapToGrid w:val="0"/>
              <w:spacing w:line="280" w:lineRule="exact"/>
              <w:jc w:val="center"/>
              <w:textAlignment w:val="center"/>
              <w:rPr>
                <w:color w:val="auto"/>
                <w:szCs w:val="21"/>
              </w:rPr>
            </w:pPr>
          </w:p>
        </w:tc>
      </w:tr>
    </w:tbl>
    <w:p>
      <w:pPr>
        <w:rPr>
          <w:rFonts w:ascii="宋体" w:hAnsi="宋体" w:cs="宋体"/>
          <w:bCs/>
          <w:color w:val="000000"/>
          <w:sz w:val="24"/>
        </w:rPr>
        <w:sectPr>
          <w:footerReference r:id="rId3" w:type="default"/>
          <w:pgSz w:w="16838" w:h="11906" w:orient="landscape"/>
          <w:pgMar w:top="720" w:right="720" w:bottom="720" w:left="720" w:header="851" w:footer="992" w:gutter="0"/>
          <w:pgNumType w:start="3"/>
          <w:cols w:space="720" w:num="1"/>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A9"/>
    <w:rsid w:val="000D19A9"/>
    <w:rsid w:val="009D7E90"/>
    <w:rsid w:val="00A6531E"/>
    <w:rsid w:val="145B52F6"/>
    <w:rsid w:val="36260B1A"/>
    <w:rsid w:val="3D7D660B"/>
    <w:rsid w:val="43071E26"/>
    <w:rsid w:val="569B00DF"/>
    <w:rsid w:val="587F4CE0"/>
    <w:rsid w:val="588A256D"/>
    <w:rsid w:val="6CF3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szCs w:val="18"/>
    </w:rPr>
  </w:style>
  <w:style w:type="character" w:customStyle="1" w:styleId="5">
    <w:name w:val="页脚 Char"/>
    <w:basedOn w:val="4"/>
    <w:link w:val="2"/>
    <w:qFormat/>
    <w:uiPriority w:val="0"/>
    <w:rPr>
      <w:rFonts w:ascii="Times New Roman" w:hAnsi="Times New Roman" w:eastAsia="宋体" w:cs="Times New Roman"/>
      <w:sz w:val="18"/>
      <w:szCs w:val="18"/>
    </w:rPr>
  </w:style>
  <w:style w:type="character" w:customStyle="1" w:styleId="6">
    <w:name w:val="font71"/>
    <w:basedOn w:val="4"/>
    <w:qFormat/>
    <w:uiPriority w:val="0"/>
    <w:rPr>
      <w:rFonts w:hint="eastAsia" w:ascii="宋体" w:hAnsi="宋体" w:eastAsia="宋体" w:cs="宋体"/>
      <w:color w:val="000000"/>
      <w:sz w:val="22"/>
      <w:szCs w:val="22"/>
      <w:u w:val="none"/>
    </w:rPr>
  </w:style>
  <w:style w:type="character" w:customStyle="1" w:styleId="7">
    <w:name w:val="font141"/>
    <w:basedOn w:val="4"/>
    <w:qFormat/>
    <w:uiPriority w:val="0"/>
    <w:rPr>
      <w:rFonts w:hint="default" w:ascii="Arial" w:hAnsi="Arial" w:cs="Arial"/>
      <w:b/>
      <w:color w:val="000000"/>
      <w:sz w:val="20"/>
      <w:szCs w:val="20"/>
      <w:u w:val="none"/>
    </w:rPr>
  </w:style>
  <w:style w:type="character" w:customStyle="1" w:styleId="8">
    <w:name w:val="font81"/>
    <w:basedOn w:val="4"/>
    <w:qFormat/>
    <w:uiPriority w:val="0"/>
    <w:rPr>
      <w:rFonts w:hint="eastAsia" w:ascii="宋体" w:hAnsi="宋体" w:eastAsia="宋体" w:cs="宋体"/>
      <w:b/>
      <w:color w:val="000000"/>
      <w:sz w:val="20"/>
      <w:szCs w:val="20"/>
      <w:u w:val="none"/>
    </w:rPr>
  </w:style>
  <w:style w:type="character" w:customStyle="1" w:styleId="9">
    <w:name w:val="font21"/>
    <w:basedOn w:val="4"/>
    <w:qFormat/>
    <w:uiPriority w:val="0"/>
    <w:rPr>
      <w:rFonts w:hint="eastAsia" w:ascii="宋体" w:hAnsi="宋体" w:eastAsia="宋体" w:cs="宋体"/>
      <w:color w:val="000000"/>
      <w:sz w:val="20"/>
      <w:szCs w:val="20"/>
      <w:u w:val="none"/>
    </w:rPr>
  </w:style>
  <w:style w:type="character" w:customStyle="1" w:styleId="10">
    <w:name w:val="font151"/>
    <w:basedOn w:val="4"/>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853</Words>
  <Characters>4865</Characters>
  <Lines>40</Lines>
  <Paragraphs>11</Paragraphs>
  <TotalTime>1</TotalTime>
  <ScaleCrop>false</ScaleCrop>
  <LinksUpToDate>false</LinksUpToDate>
  <CharactersWithSpaces>5707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2021-10-20T03:35:00Z</dcterms:created>
  <dc:creator>Administrator</dc:creator>
  <cp:lastModifiedBy>Administrator</cp:lastModifiedBy>
  <dcterms:modified xsi:type="dcterms:W3CDTF">2021-11-17T02:57:46Z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C89A0BD0EA6C4AE5824466DF4E70B997</vt:lpwstr>
  </property>
</Properties>
</file>